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bookmarkStart w:id="0" w:name="_GoBack"/>
      <w:bookmarkEnd w:id="0"/>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6B5872">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right w:val="single" w:sz="2" w:space="0" w:color="auto"/>
            </w:tcBorders>
          </w:tcPr>
          <w:p w14:paraId="26D4C54E" w14:textId="77777777" w:rsidR="00533B17" w:rsidRPr="006B5872" w:rsidRDefault="00533B17" w:rsidP="00097858">
            <w:pPr>
              <w:tabs>
                <w:tab w:val="left" w:pos="1600"/>
              </w:tabs>
              <w:spacing w:before="60"/>
              <w:rPr>
                <w:rFonts w:ascii="Candara" w:hAnsi="Candara" w:cs="Arial"/>
                <w:bCs/>
                <w:szCs w:val="18"/>
              </w:rPr>
            </w:pPr>
            <w:r w:rsidRPr="006B5872">
              <w:rPr>
                <w:rFonts w:ascii="Candara" w:hAnsi="Candara" w:cs="Arial"/>
                <w:bCs/>
                <w:szCs w:val="18"/>
              </w:rPr>
              <w:t>We would like to highlight the foll</w:t>
            </w:r>
            <w:r w:rsidR="000B281A" w:rsidRPr="006B5872">
              <w:rPr>
                <w:rFonts w:ascii="Candara" w:hAnsi="Candara" w:cs="Arial"/>
                <w:bCs/>
                <w:szCs w:val="18"/>
              </w:rPr>
              <w:t>owing improvements/achievements</w:t>
            </w:r>
            <w:r w:rsidRPr="006B5872">
              <w:rPr>
                <w:rFonts w:ascii="Candara" w:hAnsi="Candara" w:cs="Arial"/>
                <w:bCs/>
                <w:szCs w:val="18"/>
              </w:rPr>
              <w:t>:</w:t>
            </w:r>
          </w:p>
          <w:p w14:paraId="104690BF" w14:textId="77777777" w:rsidR="0043691C" w:rsidRPr="006B5872" w:rsidRDefault="0043691C" w:rsidP="0043691C">
            <w:pPr>
              <w:pStyle w:val="ListParagraph"/>
              <w:rPr>
                <w:rFonts w:ascii="Candara" w:eastAsia="Times New Roman" w:hAnsi="Candara" w:cs="Arial"/>
                <w:bCs/>
                <w:sz w:val="20"/>
                <w:szCs w:val="18"/>
              </w:rPr>
            </w:pPr>
          </w:p>
          <w:p w14:paraId="484CF31D" w14:textId="77777777" w:rsidR="0043691C" w:rsidRPr="006B5872" w:rsidRDefault="0043691C" w:rsidP="0043691C">
            <w:pPr>
              <w:pStyle w:val="ListParagraph"/>
              <w:numPr>
                <w:ilvl w:val="0"/>
                <w:numId w:val="18"/>
              </w:numPr>
              <w:rPr>
                <w:rFonts w:ascii="Candara" w:eastAsia="Times New Roman" w:hAnsi="Candara" w:cs="Arial"/>
                <w:bCs/>
                <w:sz w:val="20"/>
                <w:szCs w:val="18"/>
              </w:rPr>
            </w:pPr>
            <w:r w:rsidRPr="006B5872">
              <w:rPr>
                <w:rFonts w:ascii="Candara" w:eastAsia="Times New Roman" w:hAnsi="Candara" w:cs="Arial"/>
                <w:bCs/>
                <w:sz w:val="20"/>
                <w:szCs w:val="18"/>
              </w:rPr>
              <w:t>Key developments (leadership of change) QI 1.3</w:t>
            </w:r>
          </w:p>
          <w:p w14:paraId="4B1775C7" w14:textId="77777777" w:rsidR="0043691C" w:rsidRPr="006B5872" w:rsidRDefault="0043691C" w:rsidP="0043691C">
            <w:pPr>
              <w:pStyle w:val="ListParagraph"/>
              <w:numPr>
                <w:ilvl w:val="0"/>
                <w:numId w:val="18"/>
              </w:numPr>
              <w:rPr>
                <w:rFonts w:ascii="Candara" w:eastAsia="Times New Roman" w:hAnsi="Candara" w:cs="Arial"/>
                <w:bCs/>
                <w:sz w:val="20"/>
                <w:szCs w:val="18"/>
              </w:rPr>
            </w:pPr>
            <w:r w:rsidRPr="006B5872">
              <w:rPr>
                <w:rFonts w:ascii="Candara" w:eastAsia="Times New Roman" w:hAnsi="Candara" w:cs="Arial"/>
                <w:bCs/>
                <w:sz w:val="20"/>
                <w:szCs w:val="18"/>
              </w:rPr>
              <w:t>Developments in learning and teaching and assessment Q1 2.3</w:t>
            </w:r>
          </w:p>
          <w:p w14:paraId="5E0E2FC1" w14:textId="77777777" w:rsidR="0043691C" w:rsidRPr="006B5872" w:rsidRDefault="0043691C" w:rsidP="0043691C">
            <w:pPr>
              <w:pStyle w:val="ListParagraph"/>
              <w:numPr>
                <w:ilvl w:val="0"/>
                <w:numId w:val="18"/>
              </w:numPr>
              <w:rPr>
                <w:rFonts w:ascii="Candara" w:eastAsia="Times New Roman" w:hAnsi="Candara" w:cs="Arial"/>
                <w:bCs/>
                <w:sz w:val="20"/>
                <w:szCs w:val="18"/>
              </w:rPr>
            </w:pPr>
            <w:r w:rsidRPr="006B5872">
              <w:rPr>
                <w:rFonts w:ascii="Candara" w:eastAsia="Times New Roman" w:hAnsi="Candara" w:cs="Arial"/>
                <w:bCs/>
                <w:sz w:val="20"/>
                <w:szCs w:val="18"/>
              </w:rPr>
              <w:t>Progress in promoting well-being equality and inclusion QI 3.1</w:t>
            </w:r>
          </w:p>
          <w:p w14:paraId="614ADE7F" w14:textId="77777777" w:rsidR="0043691C" w:rsidRPr="006B5872" w:rsidRDefault="0043691C" w:rsidP="0043691C">
            <w:pPr>
              <w:pStyle w:val="ListParagraph"/>
              <w:numPr>
                <w:ilvl w:val="0"/>
                <w:numId w:val="18"/>
              </w:numPr>
              <w:rPr>
                <w:rFonts w:ascii="Candara" w:eastAsia="Times New Roman" w:hAnsi="Candara" w:cs="Arial"/>
                <w:bCs/>
                <w:sz w:val="20"/>
                <w:szCs w:val="18"/>
              </w:rPr>
            </w:pPr>
            <w:r w:rsidRPr="006B5872">
              <w:rPr>
                <w:rFonts w:ascii="Candara" w:eastAsia="Times New Roman" w:hAnsi="Candara" w:cs="Arial"/>
                <w:bCs/>
                <w:sz w:val="20"/>
                <w:szCs w:val="18"/>
              </w:rPr>
              <w:t>Progress in children’s learning /raising attainment and recognising achievement QI 3.2</w:t>
            </w:r>
          </w:p>
          <w:p w14:paraId="592DEB69" w14:textId="77777777" w:rsidR="00533B17" w:rsidRPr="006B5872" w:rsidRDefault="00533B17" w:rsidP="000C6DF3">
            <w:pPr>
              <w:tabs>
                <w:tab w:val="left" w:pos="1600"/>
              </w:tabs>
              <w:spacing w:before="60"/>
              <w:rPr>
                <w:rFonts w:ascii="Candara" w:hAnsi="Candara" w:cs="Arial"/>
                <w:bCs/>
                <w:szCs w:val="18"/>
              </w:rPr>
            </w:pPr>
          </w:p>
          <w:p w14:paraId="596781DB" w14:textId="6390B1B7" w:rsidR="00B73E66" w:rsidRPr="006B5872" w:rsidRDefault="00172C75" w:rsidP="00172C75">
            <w:pPr>
              <w:pStyle w:val="Header"/>
              <w:tabs>
                <w:tab w:val="clear" w:pos="4320"/>
                <w:tab w:val="clear" w:pos="8640"/>
                <w:tab w:val="left" w:pos="2337"/>
              </w:tabs>
              <w:spacing w:before="60"/>
              <w:rPr>
                <w:rFonts w:ascii="Candara" w:hAnsi="Candara" w:cs="Arial"/>
                <w:b/>
                <w:i/>
                <w:iCs/>
                <w:szCs w:val="18"/>
              </w:rPr>
            </w:pPr>
            <w:r>
              <w:rPr>
                <w:rFonts w:ascii="Candara" w:hAnsi="Candara" w:cs="Arial"/>
                <w:b/>
                <w:i/>
                <w:iCs/>
                <w:szCs w:val="18"/>
              </w:rPr>
              <w:t xml:space="preserve">                 </w:t>
            </w:r>
            <w:r w:rsidR="00B73E66" w:rsidRPr="006B5872">
              <w:rPr>
                <w:rFonts w:ascii="Candara" w:hAnsi="Candara" w:cs="Arial"/>
                <w:b/>
                <w:i/>
                <w:iCs/>
                <w:szCs w:val="18"/>
              </w:rPr>
              <w:t xml:space="preserve">Key Developments </w:t>
            </w:r>
          </w:p>
          <w:p w14:paraId="0A0CEA72" w14:textId="35B48379" w:rsidR="0043691C" w:rsidRPr="006B5872" w:rsidRDefault="00B73E66" w:rsidP="00B73E66">
            <w:pPr>
              <w:pStyle w:val="Header"/>
              <w:tabs>
                <w:tab w:val="clear" w:pos="4320"/>
                <w:tab w:val="clear" w:pos="8640"/>
                <w:tab w:val="left" w:pos="2337"/>
              </w:tabs>
              <w:spacing w:before="60"/>
              <w:ind w:left="720"/>
              <w:rPr>
                <w:rFonts w:ascii="Candara" w:hAnsi="Candara" w:cs="Arial"/>
                <w:bCs/>
                <w:szCs w:val="18"/>
              </w:rPr>
            </w:pPr>
            <w:r w:rsidRPr="006B5872">
              <w:rPr>
                <w:rFonts w:ascii="Candara" w:hAnsi="Candara" w:cs="Arial"/>
                <w:bCs/>
                <w:szCs w:val="18"/>
              </w:rPr>
              <w:t xml:space="preserve">Through our School Improvement Planning last session the development work on Growth </w:t>
            </w:r>
            <w:proofErr w:type="spellStart"/>
            <w:r w:rsidRPr="006B5872">
              <w:rPr>
                <w:rFonts w:ascii="Candara" w:hAnsi="Candara" w:cs="Arial"/>
                <w:bCs/>
                <w:szCs w:val="18"/>
              </w:rPr>
              <w:t>Mindset</w:t>
            </w:r>
            <w:proofErr w:type="spellEnd"/>
            <w:r w:rsidRPr="006B5872">
              <w:rPr>
                <w:rFonts w:ascii="Candara" w:hAnsi="Candara" w:cs="Arial"/>
                <w:bCs/>
                <w:szCs w:val="18"/>
              </w:rPr>
              <w:t xml:space="preserve"> has had a very positive impact on pupils learning. </w:t>
            </w:r>
            <w:r w:rsidR="0043691C" w:rsidRPr="006B5872">
              <w:rPr>
                <w:rFonts w:ascii="Candara" w:hAnsi="Candara" w:cs="Arial"/>
                <w:bCs/>
                <w:szCs w:val="18"/>
              </w:rPr>
              <w:t xml:space="preserve">Pupils can demonstrate a sound knowledge of Growth </w:t>
            </w:r>
            <w:proofErr w:type="spellStart"/>
            <w:r w:rsidR="0043691C" w:rsidRPr="006B5872">
              <w:rPr>
                <w:rFonts w:ascii="Candara" w:hAnsi="Candara" w:cs="Arial"/>
                <w:bCs/>
                <w:szCs w:val="18"/>
              </w:rPr>
              <w:t>Mindset</w:t>
            </w:r>
            <w:proofErr w:type="spellEnd"/>
            <w:r w:rsidR="0043691C" w:rsidRPr="006B5872">
              <w:rPr>
                <w:rFonts w:ascii="Candara" w:hAnsi="Candara" w:cs="Arial"/>
                <w:bCs/>
                <w:szCs w:val="18"/>
              </w:rPr>
              <w:t xml:space="preserve"> and can explain how this has helped them in their learning.</w:t>
            </w:r>
            <w:r w:rsidRPr="006B5872">
              <w:rPr>
                <w:rFonts w:ascii="Candara" w:hAnsi="Candara" w:cs="Arial"/>
                <w:bCs/>
                <w:szCs w:val="18"/>
              </w:rPr>
              <w:t xml:space="preserve"> We have a whole school Mighty </w:t>
            </w:r>
            <w:proofErr w:type="spellStart"/>
            <w:r w:rsidRPr="006B5872">
              <w:rPr>
                <w:rFonts w:ascii="Candara" w:hAnsi="Candara" w:cs="Arial"/>
                <w:bCs/>
                <w:szCs w:val="18"/>
              </w:rPr>
              <w:t>Mindset</w:t>
            </w:r>
            <w:proofErr w:type="spellEnd"/>
            <w:r w:rsidRPr="006B5872">
              <w:rPr>
                <w:rFonts w:ascii="Candara" w:hAnsi="Candara" w:cs="Arial"/>
                <w:bCs/>
                <w:szCs w:val="18"/>
              </w:rPr>
              <w:t xml:space="preserve"> display </w:t>
            </w:r>
            <w:r w:rsidR="003C5964" w:rsidRPr="006B5872">
              <w:rPr>
                <w:rFonts w:ascii="Candara" w:hAnsi="Candara" w:cs="Arial"/>
                <w:bCs/>
                <w:szCs w:val="18"/>
              </w:rPr>
              <w:t xml:space="preserve">which shows examples of work which have allowed children to demonstrate their Growth </w:t>
            </w:r>
            <w:proofErr w:type="spellStart"/>
            <w:r w:rsidR="003C5964" w:rsidRPr="006B5872">
              <w:rPr>
                <w:rFonts w:ascii="Candara" w:hAnsi="Candara" w:cs="Arial"/>
                <w:bCs/>
                <w:szCs w:val="18"/>
              </w:rPr>
              <w:t>Mindset</w:t>
            </w:r>
            <w:proofErr w:type="spellEnd"/>
            <w:r w:rsidR="003C5964" w:rsidRPr="006B5872">
              <w:rPr>
                <w:rFonts w:ascii="Candara" w:hAnsi="Candara" w:cs="Arial"/>
                <w:bCs/>
                <w:szCs w:val="18"/>
              </w:rPr>
              <w:t xml:space="preserve">. Having a Growth </w:t>
            </w:r>
            <w:proofErr w:type="spellStart"/>
            <w:r w:rsidR="003C5964" w:rsidRPr="006B5872">
              <w:rPr>
                <w:rFonts w:ascii="Candara" w:hAnsi="Candara" w:cs="Arial"/>
                <w:bCs/>
                <w:szCs w:val="18"/>
              </w:rPr>
              <w:t>Mindset</w:t>
            </w:r>
            <w:proofErr w:type="spellEnd"/>
            <w:r w:rsidR="003C5964" w:rsidRPr="006B5872">
              <w:rPr>
                <w:rFonts w:ascii="Candara" w:hAnsi="Candara" w:cs="Arial"/>
                <w:bCs/>
                <w:szCs w:val="18"/>
              </w:rPr>
              <w:t xml:space="preserve"> is also celebrated during our termly achievement assembly. </w:t>
            </w:r>
            <w:r w:rsidR="0043691C" w:rsidRPr="006B5872">
              <w:rPr>
                <w:rFonts w:ascii="Candara" w:hAnsi="Candara" w:cs="Arial"/>
                <w:bCs/>
                <w:szCs w:val="18"/>
              </w:rPr>
              <w:t xml:space="preserve"> Children through their learning log can identify the importance of mistakes in the learning process. Teachers are now building in more time for reflection during lessons to allow children to self-assess progress and to seek out more challenging learning opportunities if necessary.  </w:t>
            </w:r>
          </w:p>
          <w:p w14:paraId="2C8ADE5F" w14:textId="56068729" w:rsidR="0043691C" w:rsidRPr="006B5872" w:rsidRDefault="00B73E66" w:rsidP="00B73E66">
            <w:pPr>
              <w:pStyle w:val="Header"/>
              <w:tabs>
                <w:tab w:val="clear" w:pos="4320"/>
                <w:tab w:val="clear" w:pos="8640"/>
                <w:tab w:val="left" w:pos="2337"/>
              </w:tabs>
              <w:spacing w:before="60"/>
              <w:ind w:left="720"/>
              <w:rPr>
                <w:rFonts w:ascii="Candara" w:hAnsi="Candara" w:cs="Arial"/>
                <w:bCs/>
                <w:szCs w:val="18"/>
              </w:rPr>
            </w:pPr>
            <w:r w:rsidRPr="006B5872">
              <w:rPr>
                <w:rFonts w:ascii="Candara" w:hAnsi="Candara" w:cs="Arial"/>
                <w:bCs/>
                <w:szCs w:val="18"/>
              </w:rPr>
              <w:t>Our improvement work on Numeracy and Maths last session has resulted in s</w:t>
            </w:r>
            <w:r w:rsidR="0043691C" w:rsidRPr="006B5872">
              <w:rPr>
                <w:rFonts w:ascii="Candara" w:hAnsi="Candara" w:cs="Arial"/>
                <w:bCs/>
                <w:szCs w:val="18"/>
              </w:rPr>
              <w:t xml:space="preserve">taff and </w:t>
            </w:r>
            <w:r w:rsidRPr="006B5872">
              <w:rPr>
                <w:rFonts w:ascii="Candara" w:hAnsi="Candara" w:cs="Arial"/>
                <w:bCs/>
                <w:szCs w:val="18"/>
              </w:rPr>
              <w:t>p</w:t>
            </w:r>
            <w:r w:rsidR="0043691C" w:rsidRPr="006B5872">
              <w:rPr>
                <w:rFonts w:ascii="Candara" w:hAnsi="Candara" w:cs="Arial"/>
                <w:bCs/>
                <w:szCs w:val="18"/>
              </w:rPr>
              <w:t>upils report</w:t>
            </w:r>
            <w:r w:rsidRPr="006B5872">
              <w:rPr>
                <w:rFonts w:ascii="Candara" w:hAnsi="Candara" w:cs="Arial"/>
                <w:bCs/>
                <w:szCs w:val="18"/>
              </w:rPr>
              <w:t>ing</w:t>
            </w:r>
            <w:r w:rsidR="0043691C" w:rsidRPr="006B5872">
              <w:rPr>
                <w:rFonts w:ascii="Candara" w:hAnsi="Candara" w:cs="Arial"/>
                <w:bCs/>
                <w:szCs w:val="18"/>
              </w:rPr>
              <w:t xml:space="preserve"> an increase in positive attitude and motivation towards numeracy. </w:t>
            </w:r>
            <w:r w:rsidR="006B5872">
              <w:rPr>
                <w:rFonts w:ascii="Candara" w:hAnsi="Candara" w:cs="Arial"/>
                <w:bCs/>
                <w:szCs w:val="18"/>
              </w:rPr>
              <w:t xml:space="preserve">Pupils have benefitted from new innovative practices for teaching and learning within maths, this has led to an increase in depth of understanding, mental agility and overall attainment. </w:t>
            </w:r>
            <w:r w:rsidR="0043691C" w:rsidRPr="006B5872">
              <w:rPr>
                <w:rFonts w:ascii="Candara" w:hAnsi="Candara" w:cs="Arial"/>
                <w:bCs/>
                <w:szCs w:val="18"/>
              </w:rPr>
              <w:t xml:space="preserve">Parents report pupils are more willingly tackle challenging aspects of Numeracy and maths and they have more strategies to do this. </w:t>
            </w:r>
          </w:p>
          <w:p w14:paraId="5771AFC5" w14:textId="77777777" w:rsidR="006B5872" w:rsidRDefault="006B5872" w:rsidP="00172C75">
            <w:pPr>
              <w:pStyle w:val="Header"/>
              <w:tabs>
                <w:tab w:val="clear" w:pos="4320"/>
                <w:tab w:val="clear" w:pos="8640"/>
                <w:tab w:val="left" w:pos="2337"/>
              </w:tabs>
              <w:spacing w:before="60"/>
              <w:rPr>
                <w:rFonts w:ascii="Candara" w:hAnsi="Candara" w:cs="Arial"/>
                <w:b/>
                <w:i/>
                <w:iCs/>
                <w:szCs w:val="18"/>
              </w:rPr>
            </w:pPr>
          </w:p>
          <w:p w14:paraId="1F3C3931" w14:textId="712C515E" w:rsidR="003C5964" w:rsidRPr="006B5872" w:rsidRDefault="003C5964" w:rsidP="003C5964">
            <w:pPr>
              <w:pStyle w:val="Header"/>
              <w:tabs>
                <w:tab w:val="clear" w:pos="4320"/>
                <w:tab w:val="clear" w:pos="8640"/>
                <w:tab w:val="left" w:pos="2337"/>
              </w:tabs>
              <w:spacing w:before="60"/>
              <w:ind w:left="720"/>
              <w:rPr>
                <w:rFonts w:ascii="Candara" w:hAnsi="Candara" w:cs="Arial"/>
                <w:b/>
                <w:i/>
                <w:iCs/>
                <w:szCs w:val="18"/>
              </w:rPr>
            </w:pPr>
            <w:r w:rsidRPr="006B5872">
              <w:rPr>
                <w:rFonts w:ascii="Candara" w:hAnsi="Candara" w:cs="Arial"/>
                <w:b/>
                <w:i/>
                <w:iCs/>
                <w:szCs w:val="18"/>
              </w:rPr>
              <w:t>Progress in promoting well-being, equality and inclusion</w:t>
            </w:r>
          </w:p>
          <w:p w14:paraId="6681BCE0" w14:textId="6E313788" w:rsidR="0043691C" w:rsidRDefault="0043691C" w:rsidP="003C5964">
            <w:pPr>
              <w:pStyle w:val="Header"/>
              <w:tabs>
                <w:tab w:val="clear" w:pos="4320"/>
                <w:tab w:val="clear" w:pos="8640"/>
                <w:tab w:val="left" w:pos="2337"/>
              </w:tabs>
              <w:spacing w:before="60"/>
              <w:ind w:left="720"/>
              <w:rPr>
                <w:rFonts w:ascii="Candara" w:hAnsi="Candara" w:cs="Arial"/>
                <w:bCs/>
                <w:szCs w:val="18"/>
              </w:rPr>
            </w:pPr>
            <w:r w:rsidRPr="00D5374A">
              <w:rPr>
                <w:rFonts w:ascii="Candara" w:hAnsi="Candara" w:cs="Arial"/>
                <w:bCs/>
                <w:szCs w:val="18"/>
              </w:rPr>
              <w:t xml:space="preserve">We </w:t>
            </w:r>
            <w:r w:rsidR="003C5964">
              <w:rPr>
                <w:rFonts w:ascii="Candara" w:hAnsi="Candara" w:cs="Arial"/>
                <w:bCs/>
                <w:szCs w:val="18"/>
              </w:rPr>
              <w:t xml:space="preserve">continue to </w:t>
            </w:r>
            <w:r w:rsidRPr="00D5374A">
              <w:rPr>
                <w:rFonts w:ascii="Candara" w:hAnsi="Candara" w:cs="Arial"/>
                <w:bCs/>
                <w:szCs w:val="18"/>
              </w:rPr>
              <w:t xml:space="preserve">have a very positive ethos of the school, as a Rights Respecting School this impacts all we do. Teachers plan exciting and engaging learning experiences for children and work hard to develop their individual skills and talents. </w:t>
            </w:r>
            <w:r>
              <w:rPr>
                <w:rFonts w:ascii="Candara" w:hAnsi="Candara" w:cs="Arial"/>
                <w:bCs/>
                <w:szCs w:val="18"/>
              </w:rPr>
              <w:t>C</w:t>
            </w:r>
            <w:r w:rsidRPr="00D5374A">
              <w:rPr>
                <w:rFonts w:ascii="Candara" w:hAnsi="Candara" w:cs="Arial"/>
                <w:bCs/>
                <w:szCs w:val="18"/>
              </w:rPr>
              <w:t xml:space="preserve">ommitment and teamwork from all staff to ensure that all the children </w:t>
            </w:r>
            <w:r w:rsidRPr="00D5374A">
              <w:rPr>
                <w:rFonts w:ascii="Candara" w:hAnsi="Candara" w:cs="Arial"/>
                <w:bCs/>
                <w:szCs w:val="18"/>
              </w:rPr>
              <w:lastRenderedPageBreak/>
              <w:t xml:space="preserve">and happy, safe and achieving their potential. </w:t>
            </w:r>
          </w:p>
          <w:p w14:paraId="4C3A71D1" w14:textId="77777777" w:rsidR="003C5964" w:rsidRDefault="003C5964" w:rsidP="003C5964">
            <w:pPr>
              <w:pStyle w:val="Header"/>
              <w:tabs>
                <w:tab w:val="clear" w:pos="4320"/>
                <w:tab w:val="clear" w:pos="8640"/>
                <w:tab w:val="left" w:pos="2337"/>
              </w:tabs>
              <w:spacing w:before="60"/>
              <w:ind w:left="720"/>
              <w:rPr>
                <w:rFonts w:ascii="Candara" w:hAnsi="Candara" w:cs="Arial"/>
                <w:bCs/>
                <w:szCs w:val="18"/>
              </w:rPr>
            </w:pPr>
            <w:r>
              <w:rPr>
                <w:rFonts w:ascii="Candara" w:hAnsi="Candara" w:cs="Arial"/>
                <w:bCs/>
                <w:szCs w:val="18"/>
              </w:rPr>
              <w:t>Our SHANARRI room has been created and is used by pupils who are struggling to cope with pressures of the playground. The SHANARRI room is a supervised sensory area where children can do quiet, mindful activities to help them stay calm and relaxed.</w:t>
            </w:r>
          </w:p>
          <w:p w14:paraId="792D43B3" w14:textId="35D5B6F0" w:rsidR="003C5964" w:rsidRDefault="003C5964" w:rsidP="003C5964">
            <w:pPr>
              <w:pStyle w:val="Header"/>
              <w:tabs>
                <w:tab w:val="clear" w:pos="4320"/>
                <w:tab w:val="clear" w:pos="8640"/>
                <w:tab w:val="left" w:pos="2337"/>
              </w:tabs>
              <w:spacing w:before="60"/>
              <w:ind w:left="720"/>
              <w:rPr>
                <w:rFonts w:ascii="Candara" w:hAnsi="Candara" w:cs="Arial"/>
                <w:bCs/>
                <w:szCs w:val="18"/>
              </w:rPr>
            </w:pPr>
            <w:r>
              <w:rPr>
                <w:rFonts w:ascii="Candara" w:hAnsi="Candara" w:cs="Arial"/>
                <w:bCs/>
                <w:szCs w:val="18"/>
              </w:rPr>
              <w:t>We also have a My Space room, this is a place where children can go if they are struggling with their emotions and need to be calm.</w:t>
            </w:r>
          </w:p>
          <w:p w14:paraId="1EE3E26F" w14:textId="34B5E338" w:rsidR="003C5964" w:rsidRDefault="003C5964" w:rsidP="003C5964">
            <w:pPr>
              <w:pStyle w:val="Header"/>
              <w:tabs>
                <w:tab w:val="clear" w:pos="4320"/>
                <w:tab w:val="clear" w:pos="8640"/>
                <w:tab w:val="left" w:pos="2337"/>
              </w:tabs>
              <w:spacing w:before="60"/>
              <w:ind w:left="720"/>
              <w:rPr>
                <w:rFonts w:ascii="Candara" w:hAnsi="Candara" w:cs="Arial"/>
                <w:bCs/>
                <w:szCs w:val="18"/>
              </w:rPr>
            </w:pPr>
            <w:proofErr w:type="gramStart"/>
            <w:r w:rsidRPr="006B5872">
              <w:rPr>
                <w:rFonts w:ascii="Candara" w:hAnsi="Candara" w:cs="Arial"/>
                <w:bCs/>
                <w:szCs w:val="18"/>
              </w:rPr>
              <w:t>Seasons for Growth groups have been established by the ADHT and is</w:t>
            </w:r>
            <w:proofErr w:type="gramEnd"/>
            <w:r w:rsidRPr="006B5872">
              <w:rPr>
                <w:rFonts w:ascii="Candara" w:hAnsi="Candara" w:cs="Arial"/>
                <w:bCs/>
                <w:szCs w:val="18"/>
              </w:rPr>
              <w:t xml:space="preserve"> supporting pupils who have experiences loss or bereavement. </w:t>
            </w:r>
          </w:p>
          <w:p w14:paraId="00D37585" w14:textId="4B501F7F" w:rsidR="000017FB" w:rsidRDefault="006B5872" w:rsidP="000017FB">
            <w:pPr>
              <w:pStyle w:val="Header"/>
              <w:tabs>
                <w:tab w:val="clear" w:pos="4320"/>
                <w:tab w:val="clear" w:pos="8640"/>
                <w:tab w:val="left" w:pos="2337"/>
              </w:tabs>
              <w:spacing w:before="60"/>
              <w:ind w:left="720"/>
              <w:rPr>
                <w:rFonts w:ascii="Candara" w:hAnsi="Candara" w:cs="Arial"/>
                <w:bCs/>
                <w:szCs w:val="18"/>
              </w:rPr>
            </w:pPr>
            <w:r>
              <w:rPr>
                <w:rFonts w:ascii="Candara" w:hAnsi="Candara" w:cs="Arial"/>
                <w:bCs/>
                <w:szCs w:val="18"/>
              </w:rPr>
              <w:t>We are an accredited Language and Communication Friendly Establishment and w</w:t>
            </w:r>
            <w:r w:rsidR="003C5964">
              <w:rPr>
                <w:rFonts w:ascii="Candara" w:hAnsi="Candara" w:cs="Arial"/>
                <w:bCs/>
                <w:szCs w:val="18"/>
              </w:rPr>
              <w:t xml:space="preserve">e continue to </w:t>
            </w:r>
            <w:r>
              <w:rPr>
                <w:rFonts w:ascii="Candara" w:hAnsi="Candara" w:cs="Arial"/>
                <w:bCs/>
                <w:szCs w:val="18"/>
              </w:rPr>
              <w:t>develop our knowledge and practices to ensure we effectively support pupils with Language and communication difficulties.</w:t>
            </w:r>
          </w:p>
          <w:p w14:paraId="5BD51D1C" w14:textId="11EE0D2F" w:rsidR="000017FB" w:rsidRDefault="000017FB" w:rsidP="000017FB">
            <w:pPr>
              <w:pStyle w:val="Header"/>
              <w:tabs>
                <w:tab w:val="clear" w:pos="4320"/>
                <w:tab w:val="clear" w:pos="8640"/>
                <w:tab w:val="left" w:pos="2337"/>
              </w:tabs>
              <w:spacing w:before="60"/>
              <w:ind w:left="720"/>
              <w:rPr>
                <w:rFonts w:ascii="Candara" w:hAnsi="Candara" w:cs="Arial"/>
                <w:bCs/>
                <w:szCs w:val="18"/>
              </w:rPr>
            </w:pPr>
            <w:r>
              <w:rPr>
                <w:rFonts w:ascii="Candara" w:hAnsi="Candara" w:cs="Arial"/>
                <w:bCs/>
                <w:szCs w:val="18"/>
              </w:rPr>
              <w:t xml:space="preserve">Every year pupils participate in a Health </w:t>
            </w:r>
            <w:proofErr w:type="gramStart"/>
            <w:r>
              <w:rPr>
                <w:rFonts w:ascii="Candara" w:hAnsi="Candara" w:cs="Arial"/>
                <w:bCs/>
                <w:szCs w:val="18"/>
              </w:rPr>
              <w:t>Week,</w:t>
            </w:r>
            <w:proofErr w:type="gramEnd"/>
            <w:r>
              <w:rPr>
                <w:rFonts w:ascii="Candara" w:hAnsi="Candara" w:cs="Arial"/>
                <w:bCs/>
                <w:szCs w:val="18"/>
              </w:rPr>
              <w:t xml:space="preserve"> activities include judo, yoga and running taster sessions, </w:t>
            </w:r>
            <w:proofErr w:type="spellStart"/>
            <w:r w:rsidR="008E091F">
              <w:rPr>
                <w:rFonts w:ascii="Candara" w:hAnsi="Candara" w:cs="Arial"/>
                <w:bCs/>
                <w:szCs w:val="18"/>
              </w:rPr>
              <w:t>B</w:t>
            </w:r>
            <w:r>
              <w:rPr>
                <w:rFonts w:ascii="Candara" w:hAnsi="Candara" w:cs="Arial"/>
                <w:bCs/>
                <w:szCs w:val="18"/>
              </w:rPr>
              <w:t>ikeability</w:t>
            </w:r>
            <w:proofErr w:type="spellEnd"/>
            <w:r>
              <w:rPr>
                <w:rFonts w:ascii="Candara" w:hAnsi="Candara" w:cs="Arial"/>
                <w:bCs/>
                <w:szCs w:val="18"/>
              </w:rPr>
              <w:t xml:space="preserve"> session, healthy eating campaigns and tasting sessions and meditation and mindfulness activities. Pupils enjoy the activities and many report they would continue some of the healthy options they tried during the week.</w:t>
            </w:r>
          </w:p>
          <w:p w14:paraId="607E6C50" w14:textId="77777777" w:rsidR="006B5872" w:rsidRDefault="006B5872" w:rsidP="006B5872">
            <w:pPr>
              <w:pStyle w:val="Header"/>
              <w:tabs>
                <w:tab w:val="clear" w:pos="4320"/>
                <w:tab w:val="clear" w:pos="8640"/>
                <w:tab w:val="left" w:pos="2337"/>
              </w:tabs>
              <w:spacing w:before="60"/>
              <w:ind w:left="720"/>
              <w:rPr>
                <w:rFonts w:ascii="Candara" w:hAnsi="Candara" w:cs="Arial"/>
                <w:bCs/>
                <w:szCs w:val="18"/>
              </w:rPr>
            </w:pPr>
          </w:p>
          <w:p w14:paraId="55CF9BA7" w14:textId="18932851" w:rsidR="006B5872" w:rsidRDefault="006B5872" w:rsidP="006B5872">
            <w:pPr>
              <w:pStyle w:val="Header"/>
              <w:tabs>
                <w:tab w:val="clear" w:pos="4320"/>
                <w:tab w:val="clear" w:pos="8640"/>
                <w:tab w:val="left" w:pos="2337"/>
              </w:tabs>
              <w:spacing w:before="60"/>
              <w:ind w:left="720"/>
              <w:rPr>
                <w:rFonts w:ascii="Candara" w:hAnsi="Candara" w:cs="Arial"/>
                <w:b/>
                <w:i/>
                <w:iCs/>
                <w:szCs w:val="18"/>
              </w:rPr>
            </w:pPr>
            <w:r w:rsidRPr="006B5872">
              <w:rPr>
                <w:rFonts w:ascii="Candara" w:hAnsi="Candara" w:cs="Arial"/>
                <w:b/>
                <w:i/>
                <w:iCs/>
                <w:szCs w:val="18"/>
              </w:rPr>
              <w:t>Developments in learning and teaching and assessment</w:t>
            </w:r>
          </w:p>
          <w:p w14:paraId="229772AA" w14:textId="22B27C09" w:rsidR="000B35E6" w:rsidRDefault="000017FB" w:rsidP="000B35E6">
            <w:pPr>
              <w:pStyle w:val="Header"/>
              <w:tabs>
                <w:tab w:val="clear" w:pos="4320"/>
                <w:tab w:val="clear" w:pos="8640"/>
                <w:tab w:val="left" w:pos="2337"/>
              </w:tabs>
              <w:spacing w:before="60"/>
              <w:ind w:left="720"/>
              <w:rPr>
                <w:rFonts w:ascii="Candara" w:hAnsi="Candara" w:cs="Arial"/>
                <w:sz w:val="18"/>
                <w:szCs w:val="18"/>
              </w:rPr>
            </w:pPr>
            <w:r>
              <w:rPr>
                <w:rFonts w:ascii="Candara" w:hAnsi="Candara" w:cs="Arial"/>
                <w:iCs/>
                <w:szCs w:val="18"/>
              </w:rPr>
              <w:t>Each week pupils work with their class teachers to discuss their learning and next steps. New weekly learning logs allow pupils time for reflection on successes</w:t>
            </w:r>
            <w:r w:rsidR="000B35E6">
              <w:rPr>
                <w:rFonts w:ascii="Candara" w:hAnsi="Candara" w:cs="Arial"/>
                <w:iCs/>
                <w:szCs w:val="18"/>
              </w:rPr>
              <w:t xml:space="preserve"> they have had and what strategies helped them to achieve these. They th</w:t>
            </w:r>
            <w:r w:rsidR="008E091F">
              <w:rPr>
                <w:rFonts w:ascii="Candara" w:hAnsi="Candara" w:cs="Arial"/>
                <w:iCs/>
                <w:szCs w:val="18"/>
              </w:rPr>
              <w:t xml:space="preserve">en reflect on the attitude and </w:t>
            </w:r>
            <w:proofErr w:type="spellStart"/>
            <w:r w:rsidR="008E091F">
              <w:rPr>
                <w:rFonts w:ascii="Candara" w:hAnsi="Candara" w:cs="Arial"/>
                <w:iCs/>
                <w:szCs w:val="18"/>
              </w:rPr>
              <w:t>M</w:t>
            </w:r>
            <w:r w:rsidR="000B35E6">
              <w:rPr>
                <w:rFonts w:ascii="Candara" w:hAnsi="Candara" w:cs="Arial"/>
                <w:iCs/>
                <w:szCs w:val="18"/>
              </w:rPr>
              <w:t>indset</w:t>
            </w:r>
            <w:proofErr w:type="spellEnd"/>
            <w:r w:rsidR="000B35E6">
              <w:rPr>
                <w:rFonts w:ascii="Candara" w:hAnsi="Candara" w:cs="Arial"/>
                <w:iCs/>
                <w:szCs w:val="18"/>
              </w:rPr>
              <w:t xml:space="preserve"> they will strive to have the following week to enable them to improve. </w:t>
            </w:r>
            <w:r w:rsidR="000B35E6" w:rsidRPr="00B37F36">
              <w:rPr>
                <w:rFonts w:ascii="Candara" w:hAnsi="Candara" w:cs="Arial"/>
                <w:sz w:val="18"/>
                <w:szCs w:val="18"/>
              </w:rPr>
              <w:t xml:space="preserve"> </w:t>
            </w:r>
          </w:p>
          <w:p w14:paraId="061AEC47" w14:textId="2FC26956" w:rsidR="00172C75" w:rsidRDefault="00172C75" w:rsidP="000B35E6">
            <w:pPr>
              <w:pStyle w:val="Header"/>
              <w:tabs>
                <w:tab w:val="clear" w:pos="4320"/>
                <w:tab w:val="clear" w:pos="8640"/>
                <w:tab w:val="left" w:pos="2337"/>
              </w:tabs>
              <w:spacing w:before="60"/>
              <w:ind w:left="720"/>
              <w:rPr>
                <w:rFonts w:ascii="Candara" w:hAnsi="Candara" w:cs="Arial"/>
                <w:iCs/>
                <w:szCs w:val="18"/>
              </w:rPr>
            </w:pPr>
            <w:r>
              <w:rPr>
                <w:rFonts w:ascii="Candara" w:hAnsi="Candara" w:cs="Arial"/>
                <w:iCs/>
                <w:szCs w:val="18"/>
              </w:rPr>
              <w:t xml:space="preserve">The implementation of a new approach to Numeracy teaching and learning </w:t>
            </w:r>
            <w:r w:rsidR="008E091F">
              <w:rPr>
                <w:rFonts w:ascii="Candara" w:hAnsi="Candara" w:cs="Arial"/>
                <w:iCs/>
                <w:szCs w:val="18"/>
              </w:rPr>
              <w:t xml:space="preserve">has had a very positive impact on pupils’ attitude towards Numeracy and Maths. Pupils challenge themselves more and are equipped with a better range of strategies for mental maths. Pupils are developing their skills at self- evaluating as they are allowed to choose which challenge is best for them. </w:t>
            </w:r>
          </w:p>
          <w:p w14:paraId="78A3AE98" w14:textId="77777777" w:rsidR="006B5872" w:rsidRDefault="006B5872" w:rsidP="008E091F">
            <w:pPr>
              <w:pStyle w:val="Header"/>
              <w:tabs>
                <w:tab w:val="clear" w:pos="4320"/>
                <w:tab w:val="clear" w:pos="8640"/>
                <w:tab w:val="left" w:pos="2337"/>
              </w:tabs>
              <w:spacing w:before="60"/>
              <w:rPr>
                <w:rFonts w:ascii="Candara" w:hAnsi="Candara" w:cs="Arial"/>
                <w:b/>
                <w:i/>
                <w:iCs/>
                <w:szCs w:val="18"/>
              </w:rPr>
            </w:pPr>
          </w:p>
          <w:p w14:paraId="3A6DF448" w14:textId="77777777" w:rsidR="006B5872" w:rsidRDefault="006B5872" w:rsidP="006B5872">
            <w:pPr>
              <w:pStyle w:val="Header"/>
              <w:tabs>
                <w:tab w:val="clear" w:pos="4320"/>
                <w:tab w:val="clear" w:pos="8640"/>
                <w:tab w:val="left" w:pos="2337"/>
              </w:tabs>
              <w:spacing w:before="60"/>
              <w:ind w:left="720"/>
              <w:rPr>
                <w:rFonts w:ascii="Candara" w:hAnsi="Candara" w:cs="Arial"/>
                <w:b/>
                <w:i/>
                <w:iCs/>
                <w:szCs w:val="18"/>
              </w:rPr>
            </w:pPr>
          </w:p>
          <w:p w14:paraId="1708CC92" w14:textId="479CB8AF" w:rsidR="006B5872" w:rsidRDefault="006B5872" w:rsidP="006B5872">
            <w:pPr>
              <w:pStyle w:val="Header"/>
              <w:tabs>
                <w:tab w:val="clear" w:pos="4320"/>
                <w:tab w:val="clear" w:pos="8640"/>
                <w:tab w:val="left" w:pos="2337"/>
              </w:tabs>
              <w:spacing w:before="60"/>
              <w:ind w:left="720"/>
              <w:rPr>
                <w:rFonts w:ascii="Candara" w:hAnsi="Candara" w:cs="Arial"/>
                <w:b/>
                <w:i/>
                <w:iCs/>
                <w:szCs w:val="18"/>
              </w:rPr>
            </w:pPr>
            <w:r w:rsidRPr="006B5872">
              <w:rPr>
                <w:rFonts w:ascii="Candara" w:hAnsi="Candara" w:cs="Arial"/>
                <w:b/>
                <w:i/>
                <w:iCs/>
                <w:szCs w:val="18"/>
              </w:rPr>
              <w:t>Progress in children’s learning /raising attainment and recognising achievement</w:t>
            </w:r>
          </w:p>
          <w:p w14:paraId="2A0C35AD" w14:textId="77777777" w:rsidR="008E091F" w:rsidRDefault="008E091F" w:rsidP="006B5872">
            <w:pPr>
              <w:pStyle w:val="Header"/>
              <w:tabs>
                <w:tab w:val="clear" w:pos="4320"/>
                <w:tab w:val="clear" w:pos="8640"/>
                <w:tab w:val="left" w:pos="2337"/>
              </w:tabs>
              <w:spacing w:before="60"/>
              <w:ind w:left="720"/>
              <w:rPr>
                <w:rFonts w:ascii="Candara" w:hAnsi="Candara" w:cs="Arial"/>
                <w:b/>
                <w:i/>
                <w:iCs/>
                <w:szCs w:val="18"/>
              </w:rPr>
            </w:pPr>
          </w:p>
          <w:p w14:paraId="347FDF8D" w14:textId="037E944E" w:rsidR="008E091F" w:rsidRDefault="008E091F" w:rsidP="008E091F">
            <w:pPr>
              <w:pStyle w:val="Header"/>
              <w:tabs>
                <w:tab w:val="clear" w:pos="4320"/>
                <w:tab w:val="clear" w:pos="8640"/>
                <w:tab w:val="left" w:pos="2337"/>
              </w:tabs>
              <w:spacing w:before="60"/>
              <w:ind w:left="720"/>
              <w:rPr>
                <w:rFonts w:ascii="Candara" w:hAnsi="Candara" w:cs="Arial"/>
                <w:bCs/>
                <w:szCs w:val="18"/>
              </w:rPr>
            </w:pPr>
            <w:r>
              <w:rPr>
                <w:rFonts w:ascii="Candara" w:hAnsi="Candara" w:cs="Arial"/>
                <w:bCs/>
                <w:szCs w:val="18"/>
              </w:rPr>
              <w:t>In 2016-17 most pupils in P1, P4 and P7 achieved the appropriate Curriculum for Excellence Level in Literacy, Numeracy and Health and Well Being.</w:t>
            </w:r>
          </w:p>
          <w:p w14:paraId="66BE496E" w14:textId="424F9CE7" w:rsidR="00961817" w:rsidRDefault="00961817" w:rsidP="006B5872">
            <w:pPr>
              <w:pStyle w:val="Header"/>
              <w:tabs>
                <w:tab w:val="clear" w:pos="4320"/>
                <w:tab w:val="clear" w:pos="8640"/>
                <w:tab w:val="left" w:pos="2337"/>
              </w:tabs>
              <w:spacing w:before="60"/>
              <w:ind w:left="720"/>
              <w:rPr>
                <w:rFonts w:ascii="Candara" w:hAnsi="Candara" w:cs="Arial"/>
                <w:bCs/>
                <w:szCs w:val="18"/>
              </w:rPr>
            </w:pPr>
            <w:r w:rsidRPr="00961817">
              <w:rPr>
                <w:rFonts w:ascii="Candara" w:hAnsi="Candara" w:cs="Arial"/>
                <w:bCs/>
                <w:szCs w:val="18"/>
              </w:rPr>
              <w:t xml:space="preserve">We are </w:t>
            </w:r>
            <w:r>
              <w:rPr>
                <w:rFonts w:ascii="Candara" w:hAnsi="Candara" w:cs="Arial"/>
                <w:bCs/>
                <w:szCs w:val="18"/>
              </w:rPr>
              <w:t xml:space="preserve">very proud of </w:t>
            </w:r>
            <w:r w:rsidR="000017FB">
              <w:rPr>
                <w:rFonts w:ascii="Candara" w:hAnsi="Candara" w:cs="Arial"/>
                <w:bCs/>
                <w:szCs w:val="18"/>
              </w:rPr>
              <w:t>Swinton pupils</w:t>
            </w:r>
            <w:r w:rsidR="008E091F">
              <w:rPr>
                <w:rFonts w:ascii="Candara" w:hAnsi="Candara" w:cs="Arial"/>
                <w:bCs/>
                <w:szCs w:val="18"/>
              </w:rPr>
              <w:t>’</w:t>
            </w:r>
            <w:r w:rsidR="000017FB">
              <w:rPr>
                <w:rFonts w:ascii="Candara" w:hAnsi="Candara" w:cs="Arial"/>
                <w:bCs/>
                <w:szCs w:val="18"/>
              </w:rPr>
              <w:t xml:space="preserve"> achievements </w:t>
            </w:r>
            <w:r w:rsidR="000B35E6">
              <w:rPr>
                <w:rFonts w:ascii="Candara" w:hAnsi="Candara" w:cs="Arial"/>
                <w:bCs/>
                <w:szCs w:val="18"/>
              </w:rPr>
              <w:t xml:space="preserve">and </w:t>
            </w:r>
            <w:r>
              <w:rPr>
                <w:rFonts w:ascii="Candara" w:hAnsi="Candara" w:cs="Arial"/>
                <w:bCs/>
                <w:szCs w:val="18"/>
              </w:rPr>
              <w:t>we celebrate these each week at our whole school assemb</w:t>
            </w:r>
            <w:r w:rsidR="000017FB">
              <w:rPr>
                <w:rFonts w:ascii="Candara" w:hAnsi="Candara" w:cs="Arial"/>
                <w:bCs/>
                <w:szCs w:val="18"/>
              </w:rPr>
              <w:t>lies as well as during our termly achievement assembly.</w:t>
            </w:r>
            <w:r w:rsidR="000B35E6">
              <w:rPr>
                <w:rFonts w:ascii="Candara" w:hAnsi="Candara" w:cs="Arial"/>
                <w:bCs/>
                <w:szCs w:val="18"/>
              </w:rPr>
              <w:t xml:space="preserve"> Each class has an achievement wall where pupils’ achievements are displayed and celebrated.</w:t>
            </w:r>
          </w:p>
          <w:p w14:paraId="59ECEC49" w14:textId="713189F4" w:rsidR="000B35E6" w:rsidRDefault="000B35E6" w:rsidP="006B5872">
            <w:pPr>
              <w:pStyle w:val="Header"/>
              <w:tabs>
                <w:tab w:val="clear" w:pos="4320"/>
                <w:tab w:val="clear" w:pos="8640"/>
                <w:tab w:val="left" w:pos="2337"/>
              </w:tabs>
              <w:spacing w:before="60"/>
              <w:ind w:left="720"/>
              <w:rPr>
                <w:rFonts w:ascii="Candara" w:hAnsi="Candara" w:cs="Arial"/>
                <w:bCs/>
                <w:szCs w:val="18"/>
              </w:rPr>
            </w:pPr>
            <w:r w:rsidRPr="000B35E6">
              <w:rPr>
                <w:rFonts w:ascii="Candara" w:hAnsi="Candara" w:cs="Arial"/>
                <w:bCs/>
                <w:szCs w:val="18"/>
              </w:rPr>
              <w:t>Through pupil voice activities such as whole school committees, captains’ surgery and ‘Let’s Do Lunch!’ alongside our monitoring and tracking calendar it is evident that pupils are motivated, engaged and progressing in their learning through the experiences they are provided with.  Financial education week and Book Launch have provided pupils with real life learning contexts and develop skills work and life.</w:t>
            </w:r>
          </w:p>
          <w:p w14:paraId="3E5AC1C3" w14:textId="77777777" w:rsidR="00472A13" w:rsidRPr="00B37F36" w:rsidRDefault="00472A13" w:rsidP="00472A13">
            <w:pPr>
              <w:rPr>
                <w:rFonts w:ascii="Candara" w:hAnsi="Candara" w:cs="Arial"/>
                <w:b/>
                <w:sz w:val="18"/>
                <w:szCs w:val="18"/>
              </w:rPr>
            </w:pPr>
          </w:p>
          <w:p w14:paraId="1085A7AA" w14:textId="0E586DE6" w:rsidR="00472A13" w:rsidRPr="00472A13" w:rsidRDefault="00472A13" w:rsidP="00472A13">
            <w:pPr>
              <w:pStyle w:val="Header"/>
              <w:tabs>
                <w:tab w:val="clear" w:pos="4320"/>
                <w:tab w:val="clear" w:pos="8640"/>
                <w:tab w:val="left" w:pos="2337"/>
              </w:tabs>
              <w:spacing w:before="60"/>
              <w:ind w:left="720"/>
              <w:rPr>
                <w:rFonts w:ascii="Candara" w:hAnsi="Candara" w:cs="Arial"/>
                <w:bCs/>
                <w:szCs w:val="18"/>
              </w:rPr>
            </w:pPr>
            <w:r w:rsidRPr="00472A13">
              <w:rPr>
                <w:rFonts w:ascii="Candara" w:hAnsi="Candara" w:cs="Arial"/>
                <w:bCs/>
                <w:szCs w:val="18"/>
              </w:rPr>
              <w:t xml:space="preserve">This session we have offered clubs including Football, Basketball, Netball, Athletics, Dance, Chess, Sign Language and Scripture Union.  Participation and skills developed at these clubs are celebrated during our annual Prize Giving Ceremony. </w:t>
            </w:r>
          </w:p>
          <w:p w14:paraId="134F42E9" w14:textId="22CC2FF4" w:rsidR="00FA4B1A" w:rsidRPr="001A0481" w:rsidRDefault="00472A13" w:rsidP="0047722A">
            <w:pPr>
              <w:pStyle w:val="Header"/>
              <w:tabs>
                <w:tab w:val="clear" w:pos="4320"/>
                <w:tab w:val="clear" w:pos="8640"/>
                <w:tab w:val="left" w:pos="2337"/>
              </w:tabs>
              <w:spacing w:before="60"/>
              <w:ind w:left="720"/>
              <w:rPr>
                <w:rStyle w:val="Strong"/>
              </w:rPr>
            </w:pPr>
            <w:r w:rsidRPr="00472A13">
              <w:rPr>
                <w:rFonts w:ascii="Candara" w:hAnsi="Candara" w:cs="Arial"/>
                <w:bCs/>
                <w:szCs w:val="18"/>
              </w:rPr>
              <w:t xml:space="preserve">As well as attending clubs, we also give pupils opportunities to achieve through our school committees and </w:t>
            </w:r>
            <w:proofErr w:type="spellStart"/>
            <w:r w:rsidRPr="00472A13">
              <w:rPr>
                <w:rFonts w:ascii="Candara" w:hAnsi="Candara" w:cs="Arial"/>
                <w:bCs/>
                <w:szCs w:val="18"/>
              </w:rPr>
              <w:t>Masterclasses</w:t>
            </w:r>
            <w:proofErr w:type="spellEnd"/>
            <w:r w:rsidRPr="00472A13">
              <w:rPr>
                <w:rFonts w:ascii="Candara" w:hAnsi="Candara" w:cs="Arial"/>
                <w:bCs/>
                <w:szCs w:val="18"/>
              </w:rPr>
              <w:t xml:space="preserve"> which the pupils have been very positive about. All pupils have the opportunity to be part of a whole school committee and there are a variety of other ways they can show a stron</w:t>
            </w:r>
            <w:r w:rsidR="0047722A">
              <w:rPr>
                <w:rFonts w:ascii="Candara" w:hAnsi="Candara" w:cs="Arial"/>
                <w:bCs/>
                <w:szCs w:val="18"/>
              </w:rPr>
              <w:t>g pupil voice across the school</w:t>
            </w:r>
            <w:r w:rsidR="008E091F">
              <w:rPr>
                <w:rFonts w:ascii="Candara" w:hAnsi="Candara" w:cs="Arial"/>
                <w:bCs/>
                <w:szCs w:val="18"/>
              </w:rPr>
              <w:t>.</w:t>
            </w:r>
          </w:p>
          <w:p w14:paraId="62C69F29" w14:textId="77777777" w:rsidR="00FA4B1A" w:rsidRPr="006B5872" w:rsidRDefault="00FA4B1A" w:rsidP="00097858">
            <w:pPr>
              <w:tabs>
                <w:tab w:val="left" w:pos="1600"/>
              </w:tabs>
              <w:spacing w:before="60"/>
              <w:rPr>
                <w:rFonts w:ascii="Candara" w:hAnsi="Candara" w:cs="Arial"/>
                <w:bCs/>
                <w:szCs w:val="18"/>
              </w:rPr>
            </w:pPr>
          </w:p>
          <w:p w14:paraId="6CE7B70D" w14:textId="77777777" w:rsidR="00FA4B1A" w:rsidRPr="006B5872" w:rsidRDefault="00FA4B1A" w:rsidP="00097858">
            <w:pPr>
              <w:tabs>
                <w:tab w:val="left" w:pos="1600"/>
              </w:tabs>
              <w:spacing w:before="60"/>
              <w:rPr>
                <w:rFonts w:ascii="Candara" w:hAnsi="Candara" w:cs="Arial"/>
                <w:bCs/>
                <w:szCs w:val="18"/>
              </w:rPr>
            </w:pPr>
          </w:p>
        </w:tc>
      </w:tr>
      <w:tr w:rsidR="006B5872" w:rsidRPr="00DC1797" w14:paraId="3DDB0983" w14:textId="77777777" w:rsidTr="000C6DF3">
        <w:tc>
          <w:tcPr>
            <w:tcW w:w="360" w:type="dxa"/>
            <w:tcBorders>
              <w:left w:val="nil"/>
              <w:right w:val="single" w:sz="2" w:space="0" w:color="auto"/>
            </w:tcBorders>
            <w:shd w:val="clear" w:color="auto" w:fill="C0C0C0"/>
          </w:tcPr>
          <w:p w14:paraId="36CB5874" w14:textId="727DE485" w:rsidR="006B5872" w:rsidRPr="00DC1797" w:rsidRDefault="006B5872"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20D2897" w14:textId="77777777" w:rsidR="006B5872" w:rsidRPr="006B5872" w:rsidRDefault="006B5872" w:rsidP="00097858">
            <w:pPr>
              <w:tabs>
                <w:tab w:val="left" w:pos="1600"/>
              </w:tabs>
              <w:spacing w:before="60"/>
              <w:rPr>
                <w:rFonts w:ascii="Candara" w:hAnsi="Candara" w:cs="Arial"/>
                <w:bCs/>
                <w:szCs w:val="18"/>
              </w:rPr>
            </w:pPr>
          </w:p>
        </w:tc>
      </w:tr>
    </w:tbl>
    <w:p w14:paraId="04F951AB" w14:textId="588B35FE"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lastRenderedPageBreak/>
              <w:t>Here is w</w:t>
            </w:r>
            <w:r w:rsidR="0005632B">
              <w:rPr>
                <w:rFonts w:cs="Arial"/>
                <w:b/>
              </w:rPr>
              <w:t>hat we plan to improve next year</w:t>
            </w:r>
            <w:r w:rsidRPr="00DC1797">
              <w:rPr>
                <w:rFonts w:cs="Arial"/>
                <w:b/>
              </w:rPr>
              <w:t>.</w:t>
            </w:r>
          </w:p>
        </w:tc>
      </w:tr>
      <w:tr w:rsidR="000C6DF3" w:rsidRPr="00DC1797" w14:paraId="508B65B1" w14:textId="77777777" w:rsidTr="00D93A3E">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right w:val="single" w:sz="2" w:space="0" w:color="auto"/>
            </w:tcBorders>
          </w:tcPr>
          <w:p w14:paraId="3B840E6B" w14:textId="77777777" w:rsidR="0077595A" w:rsidRDefault="0077595A" w:rsidP="0077595A">
            <w:pPr>
              <w:rPr>
                <w:rFonts w:cs="Arial"/>
              </w:rPr>
            </w:pPr>
          </w:p>
          <w:p w14:paraId="57532068" w14:textId="262C020C" w:rsidR="00A66FCF" w:rsidRPr="008E091F" w:rsidRDefault="0043691C" w:rsidP="00A66FCF">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t>Pupils have increas</w:t>
            </w:r>
            <w:r w:rsidR="00A66FCF" w:rsidRPr="008E091F">
              <w:rPr>
                <w:rFonts w:ascii="Candara" w:eastAsia="Times New Roman" w:hAnsi="Candara" w:cs="Arial"/>
                <w:bCs/>
                <w:sz w:val="20"/>
                <w:szCs w:val="18"/>
              </w:rPr>
              <w:t>ed engagement in their learning and Health and Well-being.</w:t>
            </w:r>
          </w:p>
          <w:p w14:paraId="55D7D2E7" w14:textId="2621218C" w:rsidR="00172C75" w:rsidRPr="008E091F" w:rsidRDefault="00172C75" w:rsidP="00172C75">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t>Improve professional dialogue between teachers to ensure assessments track progress and allow teachers to better plan for next steps in pupils’ learning</w:t>
            </w:r>
          </w:p>
          <w:p w14:paraId="5E605B4A" w14:textId="3979E783" w:rsidR="00A66FCF" w:rsidRPr="008E091F" w:rsidRDefault="00A66FCF" w:rsidP="00A66FCF">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t>Encourage and foster parental engagement in children’s learning</w:t>
            </w:r>
          </w:p>
          <w:p w14:paraId="3D764BB4" w14:textId="319B1620" w:rsidR="00A66FCF" w:rsidRPr="008E091F" w:rsidRDefault="00A66FCF" w:rsidP="00A66FCF">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t>Increase the use of digital literacy to support pupils’ learning</w:t>
            </w:r>
          </w:p>
          <w:p w14:paraId="0C7F5CB2" w14:textId="3C209A52" w:rsidR="0043691C" w:rsidRPr="008E091F" w:rsidRDefault="00A66FCF" w:rsidP="00A66FCF">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lastRenderedPageBreak/>
              <w:t>I</w:t>
            </w:r>
            <w:r w:rsidR="0043691C" w:rsidRPr="008E091F">
              <w:rPr>
                <w:rFonts w:ascii="Candara" w:eastAsia="Times New Roman" w:hAnsi="Candara" w:cs="Arial"/>
                <w:bCs/>
                <w:sz w:val="20"/>
                <w:szCs w:val="18"/>
              </w:rPr>
              <w:t>ncrease in the number of children who read for enjoyment.</w:t>
            </w:r>
          </w:p>
          <w:p w14:paraId="7EE7F5BB" w14:textId="71B7D30A" w:rsidR="00A66FCF" w:rsidRPr="008E091F" w:rsidRDefault="00A66FCF" w:rsidP="00A66FCF">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t xml:space="preserve">Develop the curriculum in Literacy to raise attainment </w:t>
            </w:r>
          </w:p>
          <w:p w14:paraId="1B536FCE" w14:textId="6AF4F305" w:rsidR="00A66FCF" w:rsidRPr="008E091F" w:rsidRDefault="00A66FCF" w:rsidP="00A66FCF">
            <w:pPr>
              <w:pStyle w:val="ListParagraph"/>
              <w:numPr>
                <w:ilvl w:val="0"/>
                <w:numId w:val="17"/>
              </w:numPr>
              <w:autoSpaceDE w:val="0"/>
              <w:autoSpaceDN w:val="0"/>
              <w:adjustRightInd w:val="0"/>
              <w:rPr>
                <w:rFonts w:ascii="Candara" w:eastAsia="Times New Roman" w:hAnsi="Candara" w:cs="Arial"/>
                <w:bCs/>
                <w:sz w:val="20"/>
                <w:szCs w:val="18"/>
              </w:rPr>
            </w:pPr>
            <w:r w:rsidRPr="008E091F">
              <w:rPr>
                <w:rFonts w:ascii="Candara" w:eastAsia="Times New Roman" w:hAnsi="Candara" w:cs="Arial"/>
                <w:bCs/>
                <w:sz w:val="20"/>
                <w:szCs w:val="18"/>
              </w:rPr>
              <w:t>Raising attainment in numeracy linked to Glasgow’s attainment challenge.</w:t>
            </w:r>
          </w:p>
          <w:p w14:paraId="210652A5" w14:textId="07DACE1F" w:rsidR="00533B17" w:rsidRDefault="00533B17" w:rsidP="000C6DF3">
            <w:pPr>
              <w:tabs>
                <w:tab w:val="left" w:pos="1600"/>
              </w:tabs>
              <w:spacing w:before="60"/>
              <w:rPr>
                <w:rFonts w:cs="Arial"/>
              </w:rPr>
            </w:pPr>
          </w:p>
          <w:p w14:paraId="3BA0271D" w14:textId="77777777" w:rsidR="006F28E6" w:rsidRDefault="006F28E6" w:rsidP="00533B17">
            <w:pPr>
              <w:rPr>
                <w:rFonts w:cs="Arial"/>
              </w:rPr>
            </w:pPr>
          </w:p>
          <w:p w14:paraId="0A094660" w14:textId="77777777" w:rsidR="000C6DF3" w:rsidRDefault="000C6DF3" w:rsidP="00533B17">
            <w:pPr>
              <w:rPr>
                <w:rFonts w:cs="Arial"/>
              </w:rPr>
            </w:pPr>
          </w:p>
          <w:p w14:paraId="20DD8541" w14:textId="77777777" w:rsidR="000C6DF3" w:rsidRDefault="000C6DF3" w:rsidP="00533B17">
            <w:pPr>
              <w:rPr>
                <w:rFonts w:cs="Arial"/>
              </w:rPr>
            </w:pPr>
          </w:p>
          <w:p w14:paraId="6D4DC0D0" w14:textId="77777777" w:rsidR="000C6DF3" w:rsidRDefault="000C6DF3" w:rsidP="00533B17">
            <w:pPr>
              <w:rPr>
                <w:rFonts w:cs="Arial"/>
              </w:rPr>
            </w:pPr>
          </w:p>
          <w:p w14:paraId="5AEAE039" w14:textId="77777777" w:rsidR="000C6DF3" w:rsidRDefault="000C6DF3" w:rsidP="00533B17">
            <w:pPr>
              <w:rPr>
                <w:rFonts w:cs="Arial"/>
              </w:rPr>
            </w:pPr>
          </w:p>
          <w:p w14:paraId="7FA8E3DD" w14:textId="77777777" w:rsidR="000C6DF3" w:rsidRDefault="000C6DF3" w:rsidP="00533B17">
            <w:pPr>
              <w:rPr>
                <w:rFonts w:cs="Arial"/>
              </w:rPr>
            </w:pPr>
          </w:p>
          <w:p w14:paraId="205EA734" w14:textId="77777777" w:rsidR="00E05DF7" w:rsidRDefault="00E05DF7" w:rsidP="00533B17">
            <w:pPr>
              <w:rPr>
                <w:rFonts w:cs="Arial"/>
              </w:rPr>
            </w:pPr>
          </w:p>
          <w:p w14:paraId="1DDCB1BD" w14:textId="77777777" w:rsidR="00FA4B1A" w:rsidRDefault="00FA4B1A" w:rsidP="00533B17">
            <w:pPr>
              <w:rPr>
                <w:rFonts w:cs="Arial"/>
              </w:rPr>
            </w:pPr>
          </w:p>
          <w:p w14:paraId="369B6306" w14:textId="77777777" w:rsidR="00FA4B1A" w:rsidRDefault="00FA4B1A" w:rsidP="00533B17">
            <w:pPr>
              <w:rPr>
                <w:rFonts w:cs="Arial"/>
              </w:rPr>
            </w:pPr>
          </w:p>
          <w:p w14:paraId="02329BF9" w14:textId="77777777" w:rsidR="00FA4B1A" w:rsidRDefault="00FA4B1A" w:rsidP="00533B17">
            <w:pPr>
              <w:rPr>
                <w:rFonts w:cs="Arial"/>
              </w:rPr>
            </w:pPr>
          </w:p>
          <w:p w14:paraId="6A965B2C" w14:textId="77777777" w:rsidR="00FA4B1A" w:rsidRDefault="00FA4B1A" w:rsidP="00533B17">
            <w:pPr>
              <w:rPr>
                <w:rFonts w:cs="Arial"/>
              </w:rPr>
            </w:pPr>
          </w:p>
          <w:p w14:paraId="0A9D5325" w14:textId="77777777" w:rsidR="00E05DF7" w:rsidRPr="00DC1797" w:rsidRDefault="00E05DF7" w:rsidP="00533B17">
            <w:pPr>
              <w:rPr>
                <w:rFonts w:cs="Arial"/>
              </w:rPr>
            </w:pPr>
          </w:p>
        </w:tc>
      </w:tr>
      <w:tr w:rsidR="00D93A3E" w:rsidRPr="00DC1797" w14:paraId="42C73B12" w14:textId="77777777" w:rsidTr="000C6DF3">
        <w:tc>
          <w:tcPr>
            <w:tcW w:w="360" w:type="dxa"/>
            <w:tcBorders>
              <w:left w:val="nil"/>
              <w:right w:val="single" w:sz="2" w:space="0" w:color="auto"/>
            </w:tcBorders>
            <w:shd w:val="clear" w:color="auto" w:fill="C0C0C0"/>
          </w:tcPr>
          <w:p w14:paraId="7031EA11" w14:textId="7C54D94D" w:rsidR="00D93A3E" w:rsidRDefault="00D93A3E" w:rsidP="00312B33">
            <w:pPr>
              <w:tabs>
                <w:tab w:val="left" w:pos="1600"/>
              </w:tabs>
              <w:ind w:left="270" w:hanging="270"/>
              <w:rPr>
                <w:rFonts w:cs="Arial"/>
              </w:rPr>
            </w:pPr>
          </w:p>
          <w:p w14:paraId="45ED87C9" w14:textId="77777777" w:rsidR="00D93A3E" w:rsidRDefault="00D93A3E" w:rsidP="00312B33">
            <w:pPr>
              <w:tabs>
                <w:tab w:val="left" w:pos="1600"/>
              </w:tabs>
              <w:ind w:left="270" w:hanging="270"/>
              <w:rPr>
                <w:rFonts w:cs="Arial"/>
              </w:rPr>
            </w:pPr>
          </w:p>
          <w:p w14:paraId="447EFC5E" w14:textId="77777777" w:rsidR="00D93A3E" w:rsidRDefault="00D93A3E" w:rsidP="00312B33">
            <w:pPr>
              <w:tabs>
                <w:tab w:val="left" w:pos="1600"/>
              </w:tabs>
              <w:ind w:left="270" w:hanging="270"/>
              <w:rPr>
                <w:rFonts w:cs="Arial"/>
              </w:rPr>
            </w:pPr>
          </w:p>
          <w:p w14:paraId="56A46D86" w14:textId="77777777" w:rsidR="00D93A3E" w:rsidRDefault="00D93A3E" w:rsidP="00312B33">
            <w:pPr>
              <w:tabs>
                <w:tab w:val="left" w:pos="1600"/>
              </w:tabs>
              <w:ind w:left="270" w:hanging="270"/>
              <w:rPr>
                <w:rFonts w:cs="Arial"/>
              </w:rPr>
            </w:pPr>
          </w:p>
          <w:p w14:paraId="7D0AA38A" w14:textId="77777777" w:rsidR="00D93A3E" w:rsidRDefault="00D93A3E" w:rsidP="00312B33">
            <w:pPr>
              <w:tabs>
                <w:tab w:val="left" w:pos="1600"/>
              </w:tabs>
              <w:ind w:left="270" w:hanging="270"/>
              <w:rPr>
                <w:rFonts w:cs="Arial"/>
              </w:rPr>
            </w:pPr>
          </w:p>
          <w:p w14:paraId="1C30DA9F" w14:textId="77777777" w:rsidR="00D93A3E" w:rsidRDefault="00D93A3E" w:rsidP="00312B33">
            <w:pPr>
              <w:tabs>
                <w:tab w:val="left" w:pos="1600"/>
              </w:tabs>
              <w:ind w:left="270" w:hanging="270"/>
              <w:rPr>
                <w:rFonts w:cs="Arial"/>
              </w:rPr>
            </w:pPr>
          </w:p>
          <w:p w14:paraId="193FD869" w14:textId="77777777" w:rsidR="00D93A3E" w:rsidRDefault="00D93A3E" w:rsidP="00312B33">
            <w:pPr>
              <w:tabs>
                <w:tab w:val="left" w:pos="1600"/>
              </w:tabs>
              <w:ind w:left="270" w:hanging="270"/>
              <w:rPr>
                <w:rFonts w:cs="Arial"/>
              </w:rPr>
            </w:pPr>
          </w:p>
          <w:p w14:paraId="415DF508" w14:textId="77777777" w:rsidR="00D93A3E" w:rsidRDefault="00D93A3E" w:rsidP="00312B33">
            <w:pPr>
              <w:tabs>
                <w:tab w:val="left" w:pos="1600"/>
              </w:tabs>
              <w:ind w:left="270" w:hanging="270"/>
              <w:rPr>
                <w:rFonts w:cs="Arial"/>
              </w:rPr>
            </w:pPr>
          </w:p>
          <w:p w14:paraId="4C8E1949" w14:textId="77777777" w:rsidR="00D93A3E" w:rsidRDefault="00D93A3E" w:rsidP="00312B33">
            <w:pPr>
              <w:tabs>
                <w:tab w:val="left" w:pos="1600"/>
              </w:tabs>
              <w:ind w:left="270" w:hanging="270"/>
              <w:rPr>
                <w:rFonts w:cs="Arial"/>
              </w:rPr>
            </w:pPr>
          </w:p>
          <w:p w14:paraId="026CD625" w14:textId="77777777" w:rsidR="00D93A3E" w:rsidRDefault="00D93A3E" w:rsidP="00312B33">
            <w:pPr>
              <w:tabs>
                <w:tab w:val="left" w:pos="1600"/>
              </w:tabs>
              <w:ind w:left="270" w:hanging="270"/>
              <w:rPr>
                <w:rFonts w:cs="Arial"/>
              </w:rPr>
            </w:pPr>
          </w:p>
          <w:p w14:paraId="24600E01" w14:textId="77777777" w:rsidR="00D93A3E" w:rsidRDefault="00D93A3E" w:rsidP="00312B33">
            <w:pPr>
              <w:tabs>
                <w:tab w:val="left" w:pos="1600"/>
              </w:tabs>
              <w:ind w:left="270" w:hanging="270"/>
              <w:rPr>
                <w:rFonts w:cs="Arial"/>
              </w:rPr>
            </w:pPr>
          </w:p>
          <w:p w14:paraId="1405F790" w14:textId="77777777" w:rsidR="00D93A3E" w:rsidRDefault="00D93A3E" w:rsidP="00312B33">
            <w:pPr>
              <w:tabs>
                <w:tab w:val="left" w:pos="1600"/>
              </w:tabs>
              <w:ind w:left="270" w:hanging="270"/>
              <w:rPr>
                <w:rFonts w:cs="Arial"/>
              </w:rPr>
            </w:pPr>
          </w:p>
          <w:p w14:paraId="43F70676" w14:textId="77777777" w:rsidR="00D93A3E" w:rsidRDefault="00D93A3E" w:rsidP="00312B33">
            <w:pPr>
              <w:tabs>
                <w:tab w:val="left" w:pos="1600"/>
              </w:tabs>
              <w:ind w:left="270" w:hanging="270"/>
              <w:rPr>
                <w:rFonts w:cs="Arial"/>
              </w:rPr>
            </w:pPr>
          </w:p>
          <w:p w14:paraId="08D06E89" w14:textId="77777777" w:rsidR="00D93A3E" w:rsidRPr="00DC1797" w:rsidRDefault="00D93A3E"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F2D2A94" w14:textId="77777777" w:rsidR="00D93A3E" w:rsidRDefault="00D93A3E" w:rsidP="0077595A">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6010C209" w:rsidR="00FA4B1A" w:rsidRDefault="000B281A" w:rsidP="00F16CB4">
            <w:pPr>
              <w:autoSpaceDE w:val="0"/>
              <w:autoSpaceDN w:val="0"/>
              <w:adjustRightInd w:val="0"/>
              <w:rPr>
                <w:color w:val="000000"/>
                <w:szCs w:val="16"/>
              </w:rPr>
            </w:pPr>
            <w:r>
              <w:rPr>
                <w:color w:val="000000"/>
                <w:szCs w:val="16"/>
              </w:rPr>
              <w:t>The contact e-mail address is:</w:t>
            </w:r>
            <w:r w:rsidR="00172C75">
              <w:rPr>
                <w:color w:val="000000"/>
                <w:szCs w:val="16"/>
              </w:rPr>
              <w:t xml:space="preserve"> headteacher@swinton-pri.glasgow.sch.uk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7DF0CCBA" w:rsidR="00821AA4" w:rsidRDefault="00821AA4" w:rsidP="00F16CB4">
            <w:pPr>
              <w:autoSpaceDE w:val="0"/>
              <w:autoSpaceDN w:val="0"/>
              <w:adjustRightInd w:val="0"/>
              <w:rPr>
                <w:color w:val="000000"/>
                <w:szCs w:val="16"/>
              </w:rPr>
            </w:pPr>
            <w:r>
              <w:rPr>
                <w:color w:val="000000"/>
                <w:szCs w:val="16"/>
              </w:rPr>
              <w:t>Our telephone number is:</w:t>
            </w:r>
            <w:r w:rsidR="00172C75">
              <w:rPr>
                <w:color w:val="000000"/>
                <w:szCs w:val="16"/>
              </w:rPr>
              <w:t xml:space="preserve"> 0141 7711776</w:t>
            </w:r>
          </w:p>
          <w:p w14:paraId="7678DF56" w14:textId="77777777" w:rsidR="00FA4B1A" w:rsidRDefault="00FA4B1A" w:rsidP="00F16CB4">
            <w:pPr>
              <w:autoSpaceDE w:val="0"/>
              <w:autoSpaceDN w:val="0"/>
              <w:adjustRightInd w:val="0"/>
              <w:rPr>
                <w:color w:val="000000"/>
                <w:szCs w:val="16"/>
              </w:rPr>
            </w:pPr>
          </w:p>
          <w:p w14:paraId="67135243" w14:textId="19EAE645"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172C75">
              <w:rPr>
                <w:color w:val="000000"/>
                <w:szCs w:val="16"/>
              </w:rPr>
              <w:t xml:space="preserve"> 2 </w:t>
            </w:r>
            <w:proofErr w:type="spellStart"/>
            <w:r w:rsidR="00172C75">
              <w:rPr>
                <w:color w:val="000000"/>
                <w:szCs w:val="16"/>
              </w:rPr>
              <w:t>Rhindmuir</w:t>
            </w:r>
            <w:proofErr w:type="spellEnd"/>
            <w:r w:rsidR="00172C75">
              <w:rPr>
                <w:color w:val="000000"/>
                <w:szCs w:val="16"/>
              </w:rPr>
              <w:t xml:space="preserve"> Road, Glasgow, G69 6AZ</w:t>
            </w:r>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961817" w:rsidRDefault="00961817">
      <w:r>
        <w:separator/>
      </w:r>
    </w:p>
  </w:endnote>
  <w:endnote w:type="continuationSeparator" w:id="0">
    <w:p w14:paraId="434DCA58" w14:textId="77777777" w:rsidR="00961817" w:rsidRDefault="0096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961817" w:rsidRPr="00906413" w:rsidRDefault="00961817"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F95D4A">
      <w:rPr>
        <w:rStyle w:val="PageNumber"/>
        <w:noProof/>
        <w:sz w:val="18"/>
      </w:rPr>
      <w:t>3</w:t>
    </w:r>
    <w:r w:rsidRPr="00906413">
      <w:rPr>
        <w:rStyle w:val="PageNumber"/>
        <w:sz w:val="18"/>
      </w:rPr>
      <w:fldChar w:fldCharType="end"/>
    </w:r>
  </w:p>
  <w:p w14:paraId="0F4B461F" w14:textId="77777777" w:rsidR="00961817" w:rsidRPr="00E23D73" w:rsidRDefault="00961817"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961817" w:rsidRDefault="00961817">
      <w:r>
        <w:separator/>
      </w:r>
    </w:p>
  </w:footnote>
  <w:footnote w:type="continuationSeparator" w:id="0">
    <w:p w14:paraId="4012E173" w14:textId="77777777" w:rsidR="00961817" w:rsidRDefault="00961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9C76C1"/>
    <w:multiLevelType w:val="hybridMultilevel"/>
    <w:tmpl w:val="CF0C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7"/>
  </w:num>
  <w:num w:numId="6">
    <w:abstractNumId w:val="7"/>
  </w:num>
  <w:num w:numId="7">
    <w:abstractNumId w:val="14"/>
  </w:num>
  <w:num w:numId="8">
    <w:abstractNumId w:val="0"/>
  </w:num>
  <w:num w:numId="9">
    <w:abstractNumId w:val="10"/>
  </w:num>
  <w:num w:numId="10">
    <w:abstractNumId w:val="4"/>
  </w:num>
  <w:num w:numId="11">
    <w:abstractNumId w:val="13"/>
  </w:num>
  <w:num w:numId="12">
    <w:abstractNumId w:val="9"/>
  </w:num>
  <w:num w:numId="13">
    <w:abstractNumId w:val="2"/>
  </w:num>
  <w:num w:numId="14">
    <w:abstractNumId w:val="12"/>
  </w:num>
  <w:num w:numId="15">
    <w:abstractNumId w:val="5"/>
  </w:num>
  <w:num w:numId="16">
    <w:abstractNumId w:val="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017FB"/>
    <w:rsid w:val="000223ED"/>
    <w:rsid w:val="00040B23"/>
    <w:rsid w:val="000420D3"/>
    <w:rsid w:val="0005632B"/>
    <w:rsid w:val="0006006A"/>
    <w:rsid w:val="00073190"/>
    <w:rsid w:val="00080C2A"/>
    <w:rsid w:val="00083EC4"/>
    <w:rsid w:val="0009784E"/>
    <w:rsid w:val="00097858"/>
    <w:rsid w:val="000A1549"/>
    <w:rsid w:val="000B281A"/>
    <w:rsid w:val="000B35E6"/>
    <w:rsid w:val="000C6DF3"/>
    <w:rsid w:val="00105F08"/>
    <w:rsid w:val="00153301"/>
    <w:rsid w:val="00172C75"/>
    <w:rsid w:val="001A0481"/>
    <w:rsid w:val="001D0768"/>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C5964"/>
    <w:rsid w:val="003F097A"/>
    <w:rsid w:val="00400C51"/>
    <w:rsid w:val="0043691C"/>
    <w:rsid w:val="004532F8"/>
    <w:rsid w:val="004678FF"/>
    <w:rsid w:val="00472A13"/>
    <w:rsid w:val="0047722A"/>
    <w:rsid w:val="004A0242"/>
    <w:rsid w:val="004A61F6"/>
    <w:rsid w:val="004B62F3"/>
    <w:rsid w:val="004C387E"/>
    <w:rsid w:val="004F6C7A"/>
    <w:rsid w:val="0051174C"/>
    <w:rsid w:val="00513DB2"/>
    <w:rsid w:val="00515F1F"/>
    <w:rsid w:val="00531D46"/>
    <w:rsid w:val="00533B17"/>
    <w:rsid w:val="005730C9"/>
    <w:rsid w:val="00575FBB"/>
    <w:rsid w:val="005878F4"/>
    <w:rsid w:val="005A5B41"/>
    <w:rsid w:val="005A6CBC"/>
    <w:rsid w:val="005B0BDD"/>
    <w:rsid w:val="005D36D5"/>
    <w:rsid w:val="005E04F0"/>
    <w:rsid w:val="005E6C1E"/>
    <w:rsid w:val="005F684C"/>
    <w:rsid w:val="005F7D9A"/>
    <w:rsid w:val="006418CC"/>
    <w:rsid w:val="006674C4"/>
    <w:rsid w:val="006A637C"/>
    <w:rsid w:val="006B5872"/>
    <w:rsid w:val="006D7EB3"/>
    <w:rsid w:val="006F28E6"/>
    <w:rsid w:val="00707E7D"/>
    <w:rsid w:val="00714AC2"/>
    <w:rsid w:val="007359F0"/>
    <w:rsid w:val="0077595A"/>
    <w:rsid w:val="00777B73"/>
    <w:rsid w:val="007A3158"/>
    <w:rsid w:val="007B413E"/>
    <w:rsid w:val="007C4902"/>
    <w:rsid w:val="00811CCB"/>
    <w:rsid w:val="0081386F"/>
    <w:rsid w:val="00821AA4"/>
    <w:rsid w:val="00827F86"/>
    <w:rsid w:val="00832518"/>
    <w:rsid w:val="008C1689"/>
    <w:rsid w:val="008C2F09"/>
    <w:rsid w:val="008C3AE7"/>
    <w:rsid w:val="008C7468"/>
    <w:rsid w:val="008E091F"/>
    <w:rsid w:val="00914851"/>
    <w:rsid w:val="00914D4C"/>
    <w:rsid w:val="0092470D"/>
    <w:rsid w:val="00951A19"/>
    <w:rsid w:val="00961817"/>
    <w:rsid w:val="00963FFD"/>
    <w:rsid w:val="00967084"/>
    <w:rsid w:val="0097181F"/>
    <w:rsid w:val="009909A4"/>
    <w:rsid w:val="00992110"/>
    <w:rsid w:val="009C256B"/>
    <w:rsid w:val="009C6C41"/>
    <w:rsid w:val="009F0B92"/>
    <w:rsid w:val="00A66FCF"/>
    <w:rsid w:val="00A745CD"/>
    <w:rsid w:val="00A84C97"/>
    <w:rsid w:val="00A963C4"/>
    <w:rsid w:val="00A966F7"/>
    <w:rsid w:val="00AB5D35"/>
    <w:rsid w:val="00AD6C87"/>
    <w:rsid w:val="00AE1890"/>
    <w:rsid w:val="00B73E66"/>
    <w:rsid w:val="00B8505F"/>
    <w:rsid w:val="00BA1BCC"/>
    <w:rsid w:val="00BC7A2B"/>
    <w:rsid w:val="00C04E02"/>
    <w:rsid w:val="00C651C5"/>
    <w:rsid w:val="00C85E14"/>
    <w:rsid w:val="00CA0329"/>
    <w:rsid w:val="00CA2979"/>
    <w:rsid w:val="00CB48DC"/>
    <w:rsid w:val="00CC697C"/>
    <w:rsid w:val="00CD643C"/>
    <w:rsid w:val="00D54E4A"/>
    <w:rsid w:val="00D64238"/>
    <w:rsid w:val="00D647AF"/>
    <w:rsid w:val="00D66782"/>
    <w:rsid w:val="00D837D7"/>
    <w:rsid w:val="00D93A3E"/>
    <w:rsid w:val="00D94C57"/>
    <w:rsid w:val="00DC1797"/>
    <w:rsid w:val="00DC21A3"/>
    <w:rsid w:val="00DF6E6B"/>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322D9"/>
    <w:rsid w:val="00F3680E"/>
    <w:rsid w:val="00F46804"/>
    <w:rsid w:val="00F62B3F"/>
    <w:rsid w:val="00F77357"/>
    <w:rsid w:val="00F95D4A"/>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43691C"/>
    <w:rPr>
      <w:rFonts w:ascii="Arial" w:hAnsi="Arial"/>
      <w:lang w:eastAsia="en-US"/>
    </w:rPr>
  </w:style>
  <w:style w:type="paragraph" w:styleId="ListParagraph">
    <w:name w:val="List Paragraph"/>
    <w:basedOn w:val="Normal"/>
    <w:uiPriority w:val="34"/>
    <w:qFormat/>
    <w:rsid w:val="0043691C"/>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1A04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43691C"/>
    <w:rPr>
      <w:rFonts w:ascii="Arial" w:hAnsi="Arial"/>
      <w:lang w:eastAsia="en-US"/>
    </w:rPr>
  </w:style>
  <w:style w:type="paragraph" w:styleId="ListParagraph">
    <w:name w:val="List Paragraph"/>
    <w:basedOn w:val="Normal"/>
    <w:uiPriority w:val="34"/>
    <w:qFormat/>
    <w:rsid w:val="0043691C"/>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1A0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E8311A-59AF-4EE3-8C7C-0BFBA37E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6854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Kelly, E  ( Swinton Primary )</cp:lastModifiedBy>
  <cp:revision>2</cp:revision>
  <cp:lastPrinted>2017-09-27T08:58:00Z</cp:lastPrinted>
  <dcterms:created xsi:type="dcterms:W3CDTF">2017-09-27T08:58:00Z</dcterms:created>
  <dcterms:modified xsi:type="dcterms:W3CDTF">2017-09-27T08:58:00Z</dcterms:modified>
</cp:coreProperties>
</file>