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9E12D" w14:textId="48924675" w:rsidR="006312A7" w:rsidRDefault="006312A7" w:rsidP="009958F5">
      <w:pPr>
        <w:jc w:val="center"/>
        <w:rPr>
          <w:b/>
          <w:bCs/>
          <w:sz w:val="28"/>
          <w:szCs w:val="28"/>
        </w:rPr>
      </w:pPr>
      <w:r>
        <w:rPr>
          <w:b/>
          <w:bCs/>
          <w:sz w:val="28"/>
          <w:szCs w:val="28"/>
        </w:rPr>
        <w:t>Establishment Name</w:t>
      </w:r>
    </w:p>
    <w:p w14:paraId="5ACAE5D5" w14:textId="77777777" w:rsidR="00BA530F" w:rsidRDefault="002B6B42" w:rsidP="00BA530F">
      <w:pPr>
        <w:jc w:val="center"/>
        <w:rPr>
          <w:b/>
          <w:bCs/>
          <w:sz w:val="28"/>
          <w:szCs w:val="28"/>
        </w:rPr>
      </w:pPr>
      <w:r>
        <w:rPr>
          <w:b/>
          <w:bCs/>
          <w:sz w:val="28"/>
          <w:szCs w:val="28"/>
        </w:rPr>
        <w:t>S</w:t>
      </w:r>
      <w:r w:rsidR="006F5F7E" w:rsidRPr="006F5F7E">
        <w:rPr>
          <w:b/>
          <w:bCs/>
          <w:sz w:val="28"/>
          <w:szCs w:val="28"/>
        </w:rPr>
        <w:t>tandards &amp; Quality Report</w:t>
      </w:r>
      <w:r w:rsidR="00BA530F">
        <w:rPr>
          <w:b/>
          <w:bCs/>
          <w:sz w:val="28"/>
          <w:szCs w:val="28"/>
        </w:rPr>
        <w:t xml:space="preserve"> </w:t>
      </w:r>
    </w:p>
    <w:p w14:paraId="396DAAE5" w14:textId="0B42FC96" w:rsidR="00BA530F" w:rsidRPr="00BA530F" w:rsidRDefault="00BA530F" w:rsidP="00BA530F">
      <w:pPr>
        <w:jc w:val="center"/>
        <w:rPr>
          <w:b/>
          <w:bCs/>
          <w:sz w:val="28"/>
          <w:szCs w:val="28"/>
        </w:rPr>
      </w:pPr>
      <w:r w:rsidRPr="00BA530F">
        <w:rPr>
          <w:b/>
          <w:bCs/>
          <w:sz w:val="28"/>
          <w:szCs w:val="28"/>
        </w:rPr>
        <w:t>Session 202</w:t>
      </w:r>
      <w:r w:rsidR="0097112B">
        <w:rPr>
          <w:b/>
          <w:bCs/>
          <w:sz w:val="28"/>
          <w:szCs w:val="28"/>
        </w:rPr>
        <w:t>4</w:t>
      </w:r>
      <w:r w:rsidRPr="00BA530F">
        <w:rPr>
          <w:b/>
          <w:bCs/>
          <w:sz w:val="28"/>
          <w:szCs w:val="28"/>
        </w:rPr>
        <w:t xml:space="preserve"> – 202</w:t>
      </w:r>
      <w:r w:rsidR="0097112B">
        <w:rPr>
          <w:b/>
          <w:bCs/>
          <w:sz w:val="28"/>
          <w:szCs w:val="28"/>
        </w:rPr>
        <w:t>5</w:t>
      </w:r>
    </w:p>
    <w:p w14:paraId="340349B3" w14:textId="77777777" w:rsidR="006312A7" w:rsidRPr="006312A7" w:rsidRDefault="006312A7" w:rsidP="00EE0A65">
      <w:pPr>
        <w:rPr>
          <w:b/>
          <w:bCs/>
          <w:sz w:val="28"/>
          <w:szCs w:val="28"/>
        </w:rPr>
      </w:pPr>
    </w:p>
    <w:p w14:paraId="004C2635" w14:textId="3F806BBC" w:rsidR="000C6DF3" w:rsidRPr="005A7E1F" w:rsidRDefault="00963FFD" w:rsidP="002B6B42">
      <w:pPr>
        <w:tabs>
          <w:tab w:val="left" w:pos="1600"/>
        </w:tabs>
        <w:rPr>
          <w:rFonts w:cs="Arial"/>
        </w:rPr>
      </w:pPr>
      <w:r w:rsidRPr="007573D6">
        <w:t>Th</w:t>
      </w:r>
      <w:r w:rsidR="006F5F7E" w:rsidRPr="007573D6">
        <w:t xml:space="preserve">is </w:t>
      </w:r>
      <w:r w:rsidR="0077595A" w:rsidRPr="007573D6">
        <w:t>summar</w:t>
      </w:r>
      <w:r w:rsidRPr="007573D6">
        <w:t xml:space="preserve">y </w:t>
      </w:r>
      <w:r w:rsidR="0077595A" w:rsidRPr="007573D6">
        <w:t>report is provided for parents/care</w:t>
      </w:r>
      <w:r w:rsidR="006F5F7E" w:rsidRPr="007573D6">
        <w:t>rs</w:t>
      </w:r>
      <w:r w:rsidRPr="007573D6">
        <w:t xml:space="preserve"> and partners to outline </w:t>
      </w:r>
      <w:r w:rsidR="00DC2E99" w:rsidRPr="007573D6">
        <w:t>our achievements and improvements</w:t>
      </w:r>
      <w:r w:rsidR="009537BE">
        <w:t xml:space="preserve"> during</w:t>
      </w:r>
      <w:r w:rsidR="00DC2E99" w:rsidRPr="007573D6">
        <w:t xml:space="preserve"> session</w:t>
      </w:r>
      <w:r w:rsidR="009537BE">
        <w:t xml:space="preserve"> 202</w:t>
      </w:r>
      <w:r w:rsidR="0097112B">
        <w:t>4</w:t>
      </w:r>
      <w:r w:rsidR="009537BE">
        <w:t xml:space="preserve"> - 202</w:t>
      </w:r>
      <w:r w:rsidR="0097112B">
        <w:t>5</w:t>
      </w:r>
      <w:r w:rsidR="00DC2E99" w:rsidRPr="007573D6">
        <w:t xml:space="preserve"> an</w:t>
      </w:r>
      <w:r w:rsidR="00533B17" w:rsidRPr="007573D6">
        <w:t>d</w:t>
      </w:r>
      <w:r w:rsidR="00DC2E99" w:rsidRPr="007573D6">
        <w:t xml:space="preserve"> </w:t>
      </w:r>
      <w:r w:rsidR="007573D6">
        <w:t xml:space="preserve">to </w:t>
      </w:r>
      <w:r w:rsidR="00DC2E99" w:rsidRPr="007573D6">
        <w:t>share</w:t>
      </w:r>
      <w:r w:rsidR="007573D6">
        <w:t xml:space="preserve"> our</w:t>
      </w:r>
      <w:r w:rsidR="00DC2E99" w:rsidRPr="007573D6">
        <w:t xml:space="preserve"> improvement </w:t>
      </w:r>
      <w:r w:rsidR="00533B17" w:rsidRPr="007573D6">
        <w:t>priorities for</w:t>
      </w:r>
      <w:r w:rsidR="009537BE">
        <w:t xml:space="preserve"> </w:t>
      </w:r>
      <w:r w:rsidR="00DC2E99" w:rsidRPr="007573D6">
        <w:t>202</w:t>
      </w:r>
      <w:r w:rsidR="0097112B">
        <w:t>5</w:t>
      </w:r>
      <w:r w:rsidR="00DC2E99" w:rsidRPr="007573D6">
        <w:t xml:space="preserve"> - 202</w:t>
      </w:r>
      <w:r w:rsidR="0097112B">
        <w:t>6</w:t>
      </w:r>
      <w:r w:rsidR="00533B17" w:rsidRPr="007573D6">
        <w:t>.</w:t>
      </w:r>
      <w:r w:rsidR="007573D6">
        <w:t xml:space="preserve"> </w:t>
      </w:r>
      <w:r w:rsidR="005A7E1F">
        <w:t>Throughout last session</w:t>
      </w:r>
      <w:r w:rsidR="000C6DF3" w:rsidRPr="007573D6">
        <w:rPr>
          <w:rFonts w:cs="Arial"/>
        </w:rPr>
        <w:t xml:space="preserve"> we t</w:t>
      </w:r>
      <w:r w:rsidR="005A7E1F">
        <w:rPr>
          <w:rFonts w:cs="Arial"/>
        </w:rPr>
        <w:t>ook</w:t>
      </w:r>
      <w:r w:rsidR="000C6DF3" w:rsidRPr="007573D6">
        <w:rPr>
          <w:rFonts w:cs="Arial"/>
        </w:rPr>
        <w:t xml:space="preserve"> forward our </w:t>
      </w:r>
      <w:r w:rsidR="006F5F7E" w:rsidRPr="007573D6">
        <w:rPr>
          <w:rFonts w:cs="Arial"/>
        </w:rPr>
        <w:t xml:space="preserve">improvement </w:t>
      </w:r>
      <w:r w:rsidR="000C6DF3" w:rsidRPr="007573D6">
        <w:rPr>
          <w:rFonts w:cs="Arial"/>
        </w:rPr>
        <w:t>prior</w:t>
      </w:r>
      <w:r w:rsidR="00FA4B1A" w:rsidRPr="007573D6">
        <w:rPr>
          <w:rFonts w:cs="Arial"/>
        </w:rPr>
        <w:t xml:space="preserve">ities as detailed in our school </w:t>
      </w:r>
      <w:r w:rsidR="000C6DF3" w:rsidRPr="007573D6">
        <w:rPr>
          <w:rFonts w:cs="Arial"/>
        </w:rPr>
        <w:t>improvement plan.</w:t>
      </w:r>
      <w:r w:rsidR="007573D6">
        <w:rPr>
          <w:rFonts w:cs="Arial"/>
        </w:rPr>
        <w:t xml:space="preserve"> Using</w:t>
      </w:r>
      <w:r w:rsidR="009537BE">
        <w:rPr>
          <w:rFonts w:cs="Arial"/>
        </w:rPr>
        <w:t xml:space="preserve"> our </w:t>
      </w:r>
      <w:r w:rsidR="00DC2E99" w:rsidRPr="007573D6">
        <w:rPr>
          <w:rFonts w:cs="Arial"/>
        </w:rPr>
        <w:t>approaches to self-evaluation</w:t>
      </w:r>
      <w:r w:rsidR="005A7E1F">
        <w:rPr>
          <w:rFonts w:cs="Arial"/>
        </w:rPr>
        <w:t xml:space="preserve">, </w:t>
      </w:r>
      <w:r w:rsidR="000C6DF3" w:rsidRPr="007573D6">
        <w:rPr>
          <w:rFonts w:cs="Arial"/>
        </w:rPr>
        <w:t xml:space="preserve">we have </w:t>
      </w:r>
      <w:r w:rsidR="005A7E1F">
        <w:rPr>
          <w:rFonts w:cs="Arial"/>
        </w:rPr>
        <w:t xml:space="preserve">detailed in this report the impact of our work and </w:t>
      </w:r>
      <w:r w:rsidR="000C6DF3" w:rsidRPr="007573D6">
        <w:rPr>
          <w:rFonts w:cs="Arial"/>
        </w:rPr>
        <w:t>identified</w:t>
      </w:r>
      <w:r w:rsidR="009537BE">
        <w:rPr>
          <w:rFonts w:cs="Arial"/>
        </w:rPr>
        <w:t xml:space="preserve"> </w:t>
      </w:r>
      <w:r w:rsidR="000C6DF3" w:rsidRPr="007573D6">
        <w:rPr>
          <w:rFonts w:cs="Arial"/>
        </w:rPr>
        <w:t>how we</w:t>
      </w:r>
      <w:r w:rsidR="005A7E1F">
        <w:rPr>
          <w:rFonts w:cs="Arial"/>
        </w:rPr>
        <w:t xml:space="preserve"> plan to </w:t>
      </w:r>
      <w:r w:rsidR="007573D6">
        <w:rPr>
          <w:rFonts w:cs="Arial"/>
        </w:rPr>
        <w:t>continue to</w:t>
      </w:r>
      <w:r w:rsidR="000C6DF3" w:rsidRPr="007573D6">
        <w:rPr>
          <w:rFonts w:cs="Arial"/>
        </w:rPr>
        <w:t xml:space="preserve"> improve outcomes for our children and young people.</w:t>
      </w:r>
    </w:p>
    <w:p w14:paraId="33D7C8FF" w14:textId="4DF8723F" w:rsidR="00F77357" w:rsidRDefault="00F77357" w:rsidP="00E05DF7">
      <w:pPr>
        <w:tabs>
          <w:tab w:val="left" w:pos="1600"/>
        </w:tabs>
        <w:rPr>
          <w:sz w:val="16"/>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
        <w:gridCol w:w="9736"/>
      </w:tblGrid>
      <w:tr w:rsidR="0097112B" w:rsidRPr="005730C9" w14:paraId="02BEA175" w14:textId="77777777" w:rsidTr="00DC2E99">
        <w:tc>
          <w:tcPr>
            <w:tcW w:w="360" w:type="dxa"/>
            <w:tcBorders>
              <w:top w:val="nil"/>
              <w:left w:val="nil"/>
              <w:right w:val="single" w:sz="2" w:space="0" w:color="auto"/>
            </w:tcBorders>
            <w:shd w:val="clear" w:color="auto" w:fill="C5E0B3" w:themeFill="accent6" w:themeFillTint="66"/>
          </w:tcPr>
          <w:p w14:paraId="3106DC6E" w14:textId="77777777" w:rsidR="0097112B" w:rsidRPr="005730C9" w:rsidRDefault="0097112B" w:rsidP="00FA496D">
            <w:pPr>
              <w:tabs>
                <w:tab w:val="left" w:pos="1600"/>
              </w:tabs>
              <w:ind w:left="284" w:hanging="284"/>
              <w:rPr>
                <w:rFonts w:cs="Arial"/>
              </w:rPr>
            </w:pPr>
          </w:p>
        </w:tc>
        <w:tc>
          <w:tcPr>
            <w:tcW w:w="9736" w:type="dxa"/>
            <w:tcBorders>
              <w:left w:val="single" w:sz="2" w:space="0" w:color="auto"/>
              <w:bottom w:val="single" w:sz="2" w:space="0" w:color="auto"/>
              <w:right w:val="single" w:sz="2" w:space="0" w:color="auto"/>
            </w:tcBorders>
            <w:shd w:val="clear" w:color="auto" w:fill="C5E0B3" w:themeFill="accent6" w:themeFillTint="66"/>
          </w:tcPr>
          <w:p w14:paraId="6F434518" w14:textId="7B3CF079" w:rsidR="0097112B" w:rsidRDefault="0097112B" w:rsidP="00FA496D">
            <w:pPr>
              <w:tabs>
                <w:tab w:val="left" w:pos="1600"/>
              </w:tabs>
              <w:rPr>
                <w:rFonts w:cs="Arial"/>
                <w:b/>
              </w:rPr>
            </w:pPr>
            <w:r>
              <w:rPr>
                <w:rFonts w:cs="Arial"/>
                <w:b/>
              </w:rPr>
              <w:t>The context of the school</w:t>
            </w:r>
          </w:p>
        </w:tc>
      </w:tr>
      <w:tr w:rsidR="0097112B" w:rsidRPr="005730C9" w14:paraId="0509E6F2" w14:textId="77777777" w:rsidTr="0097112B">
        <w:tc>
          <w:tcPr>
            <w:tcW w:w="360" w:type="dxa"/>
            <w:tcBorders>
              <w:top w:val="nil"/>
              <w:left w:val="nil"/>
              <w:right w:val="single" w:sz="2" w:space="0" w:color="auto"/>
            </w:tcBorders>
            <w:shd w:val="clear" w:color="auto" w:fill="C5E0B3" w:themeFill="accent6" w:themeFillTint="66"/>
          </w:tcPr>
          <w:p w14:paraId="6815B76A" w14:textId="77777777" w:rsidR="0097112B" w:rsidRPr="005730C9" w:rsidRDefault="0097112B" w:rsidP="00FA496D">
            <w:pPr>
              <w:tabs>
                <w:tab w:val="left" w:pos="1600"/>
              </w:tabs>
              <w:ind w:left="284" w:hanging="284"/>
              <w:rPr>
                <w:rFonts w:cs="Arial"/>
              </w:rPr>
            </w:pPr>
          </w:p>
        </w:tc>
        <w:tc>
          <w:tcPr>
            <w:tcW w:w="9736" w:type="dxa"/>
            <w:tcBorders>
              <w:left w:val="single" w:sz="2" w:space="0" w:color="auto"/>
              <w:bottom w:val="single" w:sz="2" w:space="0" w:color="auto"/>
              <w:right w:val="single" w:sz="2" w:space="0" w:color="auto"/>
            </w:tcBorders>
            <w:shd w:val="clear" w:color="auto" w:fill="FFFFFF" w:themeFill="background1"/>
          </w:tcPr>
          <w:p w14:paraId="3FCB824E" w14:textId="77777777" w:rsidR="0097112B" w:rsidRDefault="0097112B" w:rsidP="00FA496D">
            <w:pPr>
              <w:tabs>
                <w:tab w:val="left" w:pos="1600"/>
              </w:tabs>
              <w:rPr>
                <w:rFonts w:cs="Arial"/>
                <w:b/>
              </w:rPr>
            </w:pPr>
          </w:p>
          <w:p w14:paraId="3DFC4D67" w14:textId="77777777" w:rsidR="002B673E" w:rsidRDefault="002B673E" w:rsidP="002B673E">
            <w:pPr>
              <w:tabs>
                <w:tab w:val="left" w:pos="1600"/>
              </w:tabs>
              <w:rPr>
                <w:rFonts w:cs="Arial"/>
                <w:b/>
              </w:rPr>
            </w:pPr>
            <w:r>
              <w:rPr>
                <w:rFonts w:cs="Arial"/>
                <w:b/>
              </w:rPr>
              <w:t xml:space="preserve">Swinton is a non- denominational school situated in Baillieston in the East End of Glasgow. During the session 24/25, the school had 9 classes. There is currently a roll of 226 pupils. </w:t>
            </w:r>
          </w:p>
          <w:p w14:paraId="512DE0A4" w14:textId="77777777" w:rsidR="002B673E" w:rsidRDefault="002B673E" w:rsidP="002B673E">
            <w:pPr>
              <w:tabs>
                <w:tab w:val="left" w:pos="1600"/>
              </w:tabs>
              <w:rPr>
                <w:rFonts w:cs="Arial"/>
                <w:b/>
              </w:rPr>
            </w:pPr>
          </w:p>
          <w:p w14:paraId="37DC520B" w14:textId="79FB127C" w:rsidR="007B3152" w:rsidRDefault="002B673E" w:rsidP="007B3152">
            <w:pPr>
              <w:tabs>
                <w:tab w:val="left" w:pos="1600"/>
              </w:tabs>
              <w:rPr>
                <w:rFonts w:cs="Arial"/>
                <w:b/>
              </w:rPr>
            </w:pPr>
            <w:r>
              <w:rPr>
                <w:rFonts w:cs="Arial"/>
                <w:b/>
              </w:rPr>
              <w:t>We have a SIMD of 22% Quintile 1</w:t>
            </w:r>
            <w:r w:rsidR="007B3152">
              <w:rPr>
                <w:rFonts w:cs="Arial"/>
                <w:b/>
              </w:rPr>
              <w:t xml:space="preserve">, 23% Quintile 3 and 53% Quintile 4.  </w:t>
            </w:r>
            <w:r w:rsidR="00C44BBA">
              <w:rPr>
                <w:rFonts w:cs="Arial"/>
                <w:b/>
              </w:rPr>
              <w:t xml:space="preserve">19% registered for Free School Meals. </w:t>
            </w:r>
            <w:r w:rsidR="007B3152">
              <w:rPr>
                <w:rFonts w:cs="Arial"/>
                <w:b/>
              </w:rPr>
              <w:t>34% of our children have one or more Additional Support Need.</w:t>
            </w:r>
            <w:r w:rsidR="00C44BBA">
              <w:rPr>
                <w:rFonts w:cs="Arial"/>
                <w:b/>
              </w:rPr>
              <w:t xml:space="preserve"> 3% pupils have English as an Additional Language.</w:t>
            </w:r>
          </w:p>
          <w:p w14:paraId="0B91BF3A" w14:textId="77777777" w:rsidR="002B673E" w:rsidRDefault="002B673E" w:rsidP="002B673E">
            <w:pPr>
              <w:tabs>
                <w:tab w:val="left" w:pos="1600"/>
              </w:tabs>
              <w:rPr>
                <w:rFonts w:cs="Arial"/>
                <w:b/>
              </w:rPr>
            </w:pPr>
          </w:p>
          <w:p w14:paraId="6B850232" w14:textId="4682A642" w:rsidR="007B3152" w:rsidRDefault="007B3152" w:rsidP="002B673E">
            <w:pPr>
              <w:tabs>
                <w:tab w:val="left" w:pos="1600"/>
              </w:tabs>
              <w:rPr>
                <w:rFonts w:cs="Arial"/>
                <w:b/>
              </w:rPr>
            </w:pPr>
            <w:r>
              <w:rPr>
                <w:rFonts w:cs="Arial"/>
                <w:b/>
              </w:rPr>
              <w:t xml:space="preserve">Children entering primary 1 come from a variety of nurseries in the local area, as well as further </w:t>
            </w:r>
            <w:proofErr w:type="spellStart"/>
            <w:r>
              <w:rPr>
                <w:rFonts w:cs="Arial"/>
                <w:b/>
              </w:rPr>
              <w:t>a field</w:t>
            </w:r>
            <w:proofErr w:type="spellEnd"/>
            <w:r>
              <w:rPr>
                <w:rFonts w:cs="Arial"/>
                <w:b/>
              </w:rPr>
              <w:t xml:space="preserve">. </w:t>
            </w:r>
          </w:p>
          <w:p w14:paraId="7F488F74" w14:textId="11F660E0" w:rsidR="007B3152" w:rsidRDefault="007B3152" w:rsidP="002B673E">
            <w:pPr>
              <w:tabs>
                <w:tab w:val="left" w:pos="1600"/>
              </w:tabs>
              <w:rPr>
                <w:rFonts w:cs="Arial"/>
                <w:b/>
              </w:rPr>
            </w:pPr>
            <w:r>
              <w:rPr>
                <w:rFonts w:cs="Arial"/>
                <w:b/>
              </w:rPr>
              <w:t xml:space="preserve">We have strong links to Bannerman High School, to which most of our children transfer at the end of Primary 7. </w:t>
            </w:r>
          </w:p>
          <w:p w14:paraId="3E971D64" w14:textId="6CDEF299" w:rsidR="00C17AB7" w:rsidRDefault="00C17AB7" w:rsidP="002B673E">
            <w:pPr>
              <w:tabs>
                <w:tab w:val="left" w:pos="1600"/>
              </w:tabs>
              <w:rPr>
                <w:rFonts w:cs="Arial"/>
                <w:b/>
              </w:rPr>
            </w:pPr>
            <w:r>
              <w:rPr>
                <w:rFonts w:cs="Arial"/>
                <w:b/>
              </w:rPr>
              <w:t xml:space="preserve">Our Parent Group support development work and fundraising events to support pupils’ learning experiences. </w:t>
            </w:r>
          </w:p>
          <w:p w14:paraId="3E613393" w14:textId="77777777" w:rsidR="007B3152" w:rsidRDefault="007B3152" w:rsidP="002B673E">
            <w:pPr>
              <w:tabs>
                <w:tab w:val="left" w:pos="1600"/>
              </w:tabs>
              <w:rPr>
                <w:rFonts w:cs="Arial"/>
                <w:b/>
              </w:rPr>
            </w:pPr>
          </w:p>
          <w:p w14:paraId="7617F414" w14:textId="6B1C792A" w:rsidR="002B673E" w:rsidRDefault="002B673E" w:rsidP="002B673E">
            <w:pPr>
              <w:tabs>
                <w:tab w:val="left" w:pos="1600"/>
              </w:tabs>
              <w:rPr>
                <w:rFonts w:cs="Arial"/>
                <w:b/>
              </w:rPr>
            </w:pPr>
            <w:r>
              <w:rPr>
                <w:rFonts w:cs="Arial"/>
                <w:b/>
              </w:rPr>
              <w:t>Staff and p</w:t>
            </w:r>
            <w:r w:rsidRPr="002B673E">
              <w:rPr>
                <w:rFonts w:cs="Arial"/>
                <w:b/>
              </w:rPr>
              <w:t xml:space="preserve">upils enjoy a happy, </w:t>
            </w:r>
            <w:r>
              <w:rPr>
                <w:rFonts w:cs="Arial"/>
                <w:b/>
              </w:rPr>
              <w:t xml:space="preserve">positive </w:t>
            </w:r>
            <w:r w:rsidRPr="002B673E">
              <w:rPr>
                <w:rFonts w:cs="Arial"/>
                <w:b/>
              </w:rPr>
              <w:t xml:space="preserve">relationship </w:t>
            </w:r>
            <w:r>
              <w:rPr>
                <w:rFonts w:cs="Arial"/>
                <w:b/>
              </w:rPr>
              <w:t xml:space="preserve">and it </w:t>
            </w:r>
            <w:r w:rsidRPr="002B673E">
              <w:rPr>
                <w:rFonts w:cs="Arial"/>
                <w:b/>
              </w:rPr>
              <w:t xml:space="preserve">takes a very short time for </w:t>
            </w:r>
            <w:r>
              <w:rPr>
                <w:rFonts w:cs="Arial"/>
                <w:b/>
              </w:rPr>
              <w:t xml:space="preserve">new pupils and families </w:t>
            </w:r>
            <w:r w:rsidRPr="002B673E">
              <w:rPr>
                <w:rFonts w:cs="Arial"/>
                <w:b/>
              </w:rPr>
              <w:t xml:space="preserve">to become known to the others, and each child is known by name to all </w:t>
            </w:r>
            <w:r>
              <w:rPr>
                <w:rFonts w:cs="Arial"/>
                <w:b/>
              </w:rPr>
              <w:t>staff.</w:t>
            </w:r>
          </w:p>
          <w:p w14:paraId="2CCDEA83" w14:textId="7652662F" w:rsidR="002B673E" w:rsidRDefault="002B673E" w:rsidP="002B673E">
            <w:pPr>
              <w:tabs>
                <w:tab w:val="left" w:pos="1600"/>
              </w:tabs>
              <w:rPr>
                <w:rFonts w:cs="Arial"/>
                <w:b/>
              </w:rPr>
            </w:pPr>
          </w:p>
          <w:p w14:paraId="505621F0" w14:textId="61E6C4B2" w:rsidR="0097112B" w:rsidRDefault="007B3152" w:rsidP="00C44BBA">
            <w:pPr>
              <w:tabs>
                <w:tab w:val="left" w:pos="1600"/>
              </w:tabs>
              <w:rPr>
                <w:rFonts w:cs="Arial"/>
                <w:b/>
              </w:rPr>
            </w:pPr>
            <w:r>
              <w:rPr>
                <w:rFonts w:cs="Arial"/>
                <w:b/>
              </w:rPr>
              <w:t xml:space="preserve">Our values are Respect, Happiness, Responsibility, Care and Trust. We are very proud to be recognised by UNICEF as a Gold Rights Respecting School. </w:t>
            </w:r>
          </w:p>
          <w:p w14:paraId="242A479C" w14:textId="77777777" w:rsidR="0097112B" w:rsidRDefault="0097112B" w:rsidP="00FA496D">
            <w:pPr>
              <w:tabs>
                <w:tab w:val="left" w:pos="1600"/>
              </w:tabs>
              <w:rPr>
                <w:rFonts w:cs="Arial"/>
                <w:b/>
              </w:rPr>
            </w:pPr>
          </w:p>
        </w:tc>
      </w:tr>
      <w:tr w:rsidR="000C6DF3" w:rsidRPr="005730C9" w14:paraId="747BEDB2" w14:textId="77777777" w:rsidTr="00DC2E99">
        <w:tc>
          <w:tcPr>
            <w:tcW w:w="360" w:type="dxa"/>
            <w:vMerge w:val="restart"/>
            <w:tcBorders>
              <w:top w:val="nil"/>
              <w:left w:val="nil"/>
              <w:right w:val="single" w:sz="2" w:space="0" w:color="auto"/>
            </w:tcBorders>
            <w:shd w:val="clear" w:color="auto" w:fill="C5E0B3" w:themeFill="accent6" w:themeFillTint="66"/>
          </w:tcPr>
          <w:p w14:paraId="7846AC8F" w14:textId="77777777" w:rsidR="00F77357" w:rsidRPr="005730C9" w:rsidRDefault="00F77357" w:rsidP="00FA496D">
            <w:pPr>
              <w:tabs>
                <w:tab w:val="left" w:pos="1600"/>
              </w:tabs>
              <w:ind w:left="284" w:hanging="284"/>
              <w:rPr>
                <w:rFonts w:cs="Arial"/>
              </w:rPr>
            </w:pPr>
          </w:p>
          <w:p w14:paraId="08302345" w14:textId="1990C401" w:rsidR="00F77357" w:rsidRPr="004C387E" w:rsidRDefault="00F77357" w:rsidP="004C387E">
            <w:pPr>
              <w:tabs>
                <w:tab w:val="left" w:pos="1600"/>
              </w:tabs>
              <w:ind w:left="284" w:right="144" w:hanging="284"/>
              <w:rPr>
                <w:rFonts w:cs="Arial"/>
                <w:sz w:val="24"/>
                <w:szCs w:val="24"/>
              </w:rPr>
            </w:pPr>
            <w:r w:rsidRPr="004C387E">
              <w:rPr>
                <w:rFonts w:ascii="Arial Bold" w:hAnsi="Arial Bold"/>
                <w:b/>
                <w:sz w:val="24"/>
                <w:szCs w:val="24"/>
              </w:rPr>
              <w:t xml:space="preserve"> </w:t>
            </w:r>
          </w:p>
        </w:tc>
        <w:tc>
          <w:tcPr>
            <w:tcW w:w="9736" w:type="dxa"/>
            <w:tcBorders>
              <w:left w:val="single" w:sz="2" w:space="0" w:color="auto"/>
              <w:bottom w:val="single" w:sz="2" w:space="0" w:color="auto"/>
              <w:right w:val="single" w:sz="2" w:space="0" w:color="auto"/>
            </w:tcBorders>
            <w:shd w:val="clear" w:color="auto" w:fill="C5E0B3" w:themeFill="accent6" w:themeFillTint="66"/>
          </w:tcPr>
          <w:p w14:paraId="39C5CDFB" w14:textId="58EF4AA2" w:rsidR="00F77357" w:rsidRPr="00811CCB" w:rsidRDefault="00533B17" w:rsidP="00FA496D">
            <w:pPr>
              <w:tabs>
                <w:tab w:val="left" w:pos="1600"/>
              </w:tabs>
              <w:rPr>
                <w:rFonts w:cs="Arial"/>
                <w:b/>
              </w:rPr>
            </w:pPr>
            <w:r>
              <w:rPr>
                <w:rFonts w:cs="Arial"/>
                <w:b/>
              </w:rPr>
              <w:t>Our a</w:t>
            </w:r>
            <w:r w:rsidRPr="00DC1797">
              <w:rPr>
                <w:rFonts w:cs="Arial"/>
                <w:b/>
              </w:rPr>
              <w:t xml:space="preserve">chievements </w:t>
            </w:r>
            <w:r w:rsidR="0005632B">
              <w:rPr>
                <w:rFonts w:cs="Arial"/>
                <w:b/>
              </w:rPr>
              <w:t>and improvements</w:t>
            </w:r>
            <w:r w:rsidR="002B6B42">
              <w:rPr>
                <w:rFonts w:cs="Arial"/>
                <w:b/>
              </w:rPr>
              <w:t xml:space="preserve"> 202</w:t>
            </w:r>
            <w:r w:rsidR="0097112B">
              <w:rPr>
                <w:rFonts w:cs="Arial"/>
                <w:b/>
              </w:rPr>
              <w:t>4</w:t>
            </w:r>
            <w:r w:rsidR="00D92600">
              <w:rPr>
                <w:rFonts w:cs="Arial"/>
                <w:b/>
              </w:rPr>
              <w:t xml:space="preserve"> </w:t>
            </w:r>
            <w:r w:rsidR="005A7E1F">
              <w:rPr>
                <w:rFonts w:cs="Arial"/>
                <w:b/>
              </w:rPr>
              <w:t>–</w:t>
            </w:r>
            <w:r w:rsidR="002B6B42">
              <w:rPr>
                <w:rFonts w:cs="Arial"/>
                <w:b/>
              </w:rPr>
              <w:t xml:space="preserve"> 202</w:t>
            </w:r>
            <w:r w:rsidR="0097112B">
              <w:rPr>
                <w:rFonts w:cs="Arial"/>
                <w:b/>
              </w:rPr>
              <w:t>5</w:t>
            </w:r>
          </w:p>
        </w:tc>
      </w:tr>
      <w:tr w:rsidR="004C387E" w:rsidRPr="00DC1797" w14:paraId="10665D5E" w14:textId="77777777" w:rsidTr="0097112B">
        <w:tc>
          <w:tcPr>
            <w:tcW w:w="360" w:type="dxa"/>
            <w:vMerge/>
            <w:tcBorders>
              <w:left w:val="nil"/>
              <w:right w:val="single" w:sz="2" w:space="0" w:color="auto"/>
            </w:tcBorders>
            <w:shd w:val="clear" w:color="auto" w:fill="C0C0C0"/>
          </w:tcPr>
          <w:p w14:paraId="515ACBDC" w14:textId="77777777" w:rsidR="00F77357" w:rsidRPr="00DC1797" w:rsidRDefault="00F77357" w:rsidP="00FA496D">
            <w:pPr>
              <w:tabs>
                <w:tab w:val="left" w:pos="1600"/>
              </w:tabs>
              <w:ind w:left="270" w:hanging="270"/>
              <w:rPr>
                <w:rFonts w:cs="Arial"/>
              </w:rPr>
            </w:pPr>
          </w:p>
        </w:tc>
        <w:tc>
          <w:tcPr>
            <w:tcW w:w="9736" w:type="dxa"/>
            <w:tcBorders>
              <w:left w:val="single" w:sz="2" w:space="0" w:color="auto"/>
              <w:right w:val="single" w:sz="2" w:space="0" w:color="auto"/>
            </w:tcBorders>
          </w:tcPr>
          <w:p w14:paraId="592DEB69" w14:textId="77777777" w:rsidR="00533B17" w:rsidRDefault="00533B17" w:rsidP="000C6DF3">
            <w:pPr>
              <w:tabs>
                <w:tab w:val="left" w:pos="1600"/>
              </w:tabs>
              <w:spacing w:before="60"/>
              <w:rPr>
                <w:rFonts w:cs="Arial"/>
              </w:rPr>
            </w:pPr>
          </w:p>
          <w:p w14:paraId="2B970E1B" w14:textId="2F81CD3A" w:rsidR="00C44BBA" w:rsidRPr="00C44BBA" w:rsidRDefault="00C44BBA" w:rsidP="00C44BBA">
            <w:pPr>
              <w:pStyle w:val="ListParagraph"/>
              <w:numPr>
                <w:ilvl w:val="0"/>
                <w:numId w:val="17"/>
              </w:numPr>
              <w:tabs>
                <w:tab w:val="left" w:pos="1600"/>
              </w:tabs>
              <w:spacing w:before="60"/>
              <w:rPr>
                <w:rFonts w:cs="Arial"/>
              </w:rPr>
            </w:pPr>
            <w:r w:rsidRPr="00C44BBA">
              <w:rPr>
                <w:rFonts w:cs="Arial"/>
              </w:rPr>
              <w:t xml:space="preserve">Our new Curriculum Rationale was created, which incorporated the views of Parents, </w:t>
            </w:r>
            <w:r>
              <w:rPr>
                <w:rFonts w:cs="Arial"/>
              </w:rPr>
              <w:t>P</w:t>
            </w:r>
            <w:r w:rsidRPr="00C44BBA">
              <w:rPr>
                <w:rFonts w:cs="Arial"/>
              </w:rPr>
              <w:t>upils and Staff. It reflects Swinton’s unique strengths and how our curriculum promotes development of the whole child.</w:t>
            </w:r>
          </w:p>
          <w:p w14:paraId="464B8638" w14:textId="77777777" w:rsidR="00F67A76" w:rsidRDefault="00C44BBA" w:rsidP="00C44BBA">
            <w:pPr>
              <w:pStyle w:val="ListParagraph"/>
              <w:numPr>
                <w:ilvl w:val="0"/>
                <w:numId w:val="17"/>
              </w:numPr>
              <w:tabs>
                <w:tab w:val="left" w:pos="1600"/>
              </w:tabs>
              <w:spacing w:before="60"/>
              <w:rPr>
                <w:rFonts w:cs="Arial"/>
              </w:rPr>
            </w:pPr>
            <w:r>
              <w:rPr>
                <w:rFonts w:cs="Arial"/>
              </w:rPr>
              <w:t xml:space="preserve">We were recognised by UNICEF as a Gold Rights Respecting School. Strengths recognised </w:t>
            </w:r>
            <w:proofErr w:type="gramStart"/>
            <w:r>
              <w:rPr>
                <w:rFonts w:cs="Arial"/>
              </w:rPr>
              <w:t>were:</w:t>
            </w:r>
            <w:proofErr w:type="gramEnd"/>
            <w:r>
              <w:rPr>
                <w:rFonts w:cs="Arial"/>
              </w:rPr>
              <w:t xml:space="preserve"> children see themselves as global citizens, there are consistent messages about rights and respect and excellent knowledge of rights across the school community.</w:t>
            </w:r>
            <w:r w:rsidR="00684EE6">
              <w:rPr>
                <w:rFonts w:cs="Arial"/>
              </w:rPr>
              <w:t xml:space="preserve"> Nearly all pupils felt they could make positive changes locally and globally. </w:t>
            </w:r>
            <w:r w:rsidR="00F67A76" w:rsidRPr="008340A6">
              <w:rPr>
                <w:rFonts w:cs="Arial"/>
              </w:rPr>
              <w:t>Learning and exploring</w:t>
            </w:r>
            <w:r w:rsidR="00F67A76" w:rsidRPr="000A5FB6">
              <w:rPr>
                <w:rFonts w:cs="Arial"/>
              </w:rPr>
              <w:t xml:space="preserve"> equalities, inequalities and discussion of themes such discrimination helps positively shape our pupils’ views</w:t>
            </w:r>
            <w:r w:rsidR="00F67A76">
              <w:rPr>
                <w:rFonts w:cs="Arial"/>
              </w:rPr>
              <w:t xml:space="preserve">. </w:t>
            </w:r>
          </w:p>
          <w:p w14:paraId="3BA05222" w14:textId="7AEEDE0B" w:rsidR="00C17AB7" w:rsidRPr="00C17AB7" w:rsidRDefault="00F67A76" w:rsidP="00C17AB7">
            <w:pPr>
              <w:pStyle w:val="ListParagraph"/>
              <w:numPr>
                <w:ilvl w:val="0"/>
                <w:numId w:val="17"/>
              </w:numPr>
              <w:tabs>
                <w:tab w:val="left" w:pos="1600"/>
              </w:tabs>
              <w:spacing w:before="60"/>
              <w:rPr>
                <w:rFonts w:cs="Arial"/>
              </w:rPr>
            </w:pPr>
            <w:r>
              <w:rPr>
                <w:rFonts w:cs="Arial"/>
                <w:lang w:eastAsia="en-GB"/>
              </w:rPr>
              <w:t xml:space="preserve">Our Rights group have worked hard to set up the Swinton Food Pantry. The pantry is regularly restocked for our local community to enjoy the right to nutritious food. </w:t>
            </w:r>
          </w:p>
          <w:p w14:paraId="743CEC80" w14:textId="5927B316" w:rsidR="00C44BBA" w:rsidRDefault="00C44BBA" w:rsidP="00C44BBA">
            <w:pPr>
              <w:pStyle w:val="ListParagraph"/>
              <w:numPr>
                <w:ilvl w:val="0"/>
                <w:numId w:val="17"/>
              </w:numPr>
              <w:tabs>
                <w:tab w:val="left" w:pos="1600"/>
              </w:tabs>
              <w:spacing w:before="60"/>
              <w:rPr>
                <w:rFonts w:cs="Arial"/>
              </w:rPr>
            </w:pPr>
            <w:r>
              <w:rPr>
                <w:rFonts w:cs="Arial"/>
              </w:rPr>
              <w:t xml:space="preserve">Pupil voice is strong across the school, with most pupils knowing their views are sought, valued and acted upon. All children have regular opportunities to make choices in their learning. </w:t>
            </w:r>
            <w:r w:rsidR="00684EE6">
              <w:rPr>
                <w:rFonts w:cs="Arial"/>
              </w:rPr>
              <w:t>Learning and teaching visits by Senior Leadership Team showed nearly all children were engaged in their learning</w:t>
            </w:r>
            <w:r w:rsidR="000B27A5">
              <w:rPr>
                <w:rFonts w:cs="Arial"/>
              </w:rPr>
              <w:t xml:space="preserve">. Pupil leaders feel strongly they have ked to positive change in school. </w:t>
            </w:r>
          </w:p>
          <w:p w14:paraId="7A6D259C" w14:textId="39A6594A" w:rsidR="00684EE6" w:rsidRDefault="00684EE6" w:rsidP="00C44BBA">
            <w:pPr>
              <w:pStyle w:val="ListParagraph"/>
              <w:numPr>
                <w:ilvl w:val="0"/>
                <w:numId w:val="17"/>
              </w:numPr>
              <w:tabs>
                <w:tab w:val="left" w:pos="1600"/>
              </w:tabs>
              <w:spacing w:before="60"/>
              <w:rPr>
                <w:rFonts w:cs="Arial"/>
              </w:rPr>
            </w:pPr>
            <w:r>
              <w:rPr>
                <w:rFonts w:cs="Arial"/>
              </w:rPr>
              <w:t xml:space="preserve">At Swinton, children’s social and emotional wellbeing is a priority. Nearly all </w:t>
            </w:r>
            <w:r w:rsidR="00C17AB7">
              <w:rPr>
                <w:rFonts w:cs="Arial"/>
              </w:rPr>
              <w:t xml:space="preserve">pupils surveyed </w:t>
            </w:r>
            <w:r>
              <w:rPr>
                <w:rFonts w:cs="Arial"/>
              </w:rPr>
              <w:t>feel included and valued and safe at school. Nearly all families surveyed agreed or strongly agreed the school supported their child’s emotional wellbeing.</w:t>
            </w:r>
          </w:p>
          <w:p w14:paraId="075A4B80" w14:textId="7D6EAA74" w:rsidR="00F247AD" w:rsidRDefault="00F247AD" w:rsidP="00F247AD">
            <w:pPr>
              <w:pStyle w:val="ListParagraph"/>
              <w:numPr>
                <w:ilvl w:val="0"/>
                <w:numId w:val="17"/>
              </w:numPr>
              <w:tabs>
                <w:tab w:val="left" w:pos="1600"/>
              </w:tabs>
              <w:spacing w:before="60"/>
              <w:rPr>
                <w:rFonts w:cs="Arial"/>
              </w:rPr>
            </w:pPr>
            <w:r>
              <w:rPr>
                <w:rFonts w:cs="Arial"/>
              </w:rPr>
              <w:t xml:space="preserve">All families who responded to our </w:t>
            </w:r>
            <w:r w:rsidR="001F6D41">
              <w:rPr>
                <w:rFonts w:cs="Arial"/>
              </w:rPr>
              <w:t>recent How Good Is Our School survey</w:t>
            </w:r>
            <w:r>
              <w:rPr>
                <w:rFonts w:cs="Arial"/>
              </w:rPr>
              <w:t xml:space="preserve"> agreed or strongly agreed they </w:t>
            </w:r>
            <w:r w:rsidRPr="00F247AD">
              <w:rPr>
                <w:rFonts w:cs="Arial"/>
              </w:rPr>
              <w:t>feel comfortable approaching the school with questions, suggestions and/or a problem</w:t>
            </w:r>
            <w:r>
              <w:rPr>
                <w:rFonts w:cs="Arial"/>
              </w:rPr>
              <w:t>, that the school was well led and managed and their child was treated fairly and with respect.</w:t>
            </w:r>
          </w:p>
          <w:p w14:paraId="4A1BA2B3" w14:textId="0D944F28" w:rsidR="00684EE6" w:rsidRDefault="00684EE6" w:rsidP="00C44BBA">
            <w:pPr>
              <w:pStyle w:val="ListParagraph"/>
              <w:numPr>
                <w:ilvl w:val="0"/>
                <w:numId w:val="17"/>
              </w:numPr>
              <w:tabs>
                <w:tab w:val="left" w:pos="1600"/>
              </w:tabs>
              <w:spacing w:before="60"/>
              <w:rPr>
                <w:rFonts w:cs="Arial"/>
              </w:rPr>
            </w:pPr>
            <w:r>
              <w:rPr>
                <w:rFonts w:cs="Arial"/>
              </w:rPr>
              <w:t>Pupil Equity Funding targeted nurture support within our Beech Room helped children develop social and emotional skills.</w:t>
            </w:r>
          </w:p>
          <w:p w14:paraId="639F94A8" w14:textId="6C894E3E" w:rsidR="00684EE6" w:rsidRDefault="00684EE6" w:rsidP="00684EE6">
            <w:pPr>
              <w:pStyle w:val="ListParagraph"/>
              <w:numPr>
                <w:ilvl w:val="0"/>
                <w:numId w:val="17"/>
              </w:numPr>
              <w:tabs>
                <w:tab w:val="left" w:pos="1600"/>
              </w:tabs>
              <w:spacing w:before="60"/>
              <w:rPr>
                <w:rFonts w:cs="Arial"/>
              </w:rPr>
            </w:pPr>
            <w:r>
              <w:rPr>
                <w:rFonts w:cs="Arial"/>
              </w:rPr>
              <w:t>We improved how we involved pupils and families in decision making and planning support – all learners and families agreed the plan of support helped the pupil make progress in relation to their wellbeing</w:t>
            </w:r>
            <w:r w:rsidR="00F247AD">
              <w:rPr>
                <w:rFonts w:cs="Arial"/>
              </w:rPr>
              <w:t>.</w:t>
            </w:r>
          </w:p>
          <w:p w14:paraId="4E103BD9" w14:textId="13EC0B9E" w:rsidR="00684EE6" w:rsidRDefault="00684EE6" w:rsidP="00684EE6">
            <w:pPr>
              <w:pStyle w:val="ListParagraph"/>
              <w:numPr>
                <w:ilvl w:val="0"/>
                <w:numId w:val="17"/>
              </w:numPr>
              <w:tabs>
                <w:tab w:val="left" w:pos="1600"/>
              </w:tabs>
              <w:spacing w:before="60"/>
              <w:rPr>
                <w:rFonts w:cs="Arial"/>
              </w:rPr>
            </w:pPr>
            <w:r>
              <w:rPr>
                <w:rFonts w:cs="Arial"/>
              </w:rPr>
              <w:t xml:space="preserve">Following </w:t>
            </w:r>
            <w:r w:rsidR="00A84A4D">
              <w:rPr>
                <w:rFonts w:cs="Arial"/>
              </w:rPr>
              <w:t>training for all teachers</w:t>
            </w:r>
            <w:r w:rsidR="000B27A5">
              <w:rPr>
                <w:rFonts w:cs="Arial"/>
              </w:rPr>
              <w:t xml:space="preserve"> as part of school’s improvement priorities</w:t>
            </w:r>
            <w:r w:rsidR="00A84A4D">
              <w:rPr>
                <w:rFonts w:cs="Arial"/>
              </w:rPr>
              <w:t xml:space="preserve">, all classes from P4 onwards are using the Write on Track model to develop their understanding of sentences. Development work has led to a positive effect on children’s writing – children are more </w:t>
            </w:r>
            <w:proofErr w:type="gramStart"/>
            <w:r w:rsidR="00A84A4D">
              <w:rPr>
                <w:rFonts w:cs="Arial"/>
              </w:rPr>
              <w:t>engaged</w:t>
            </w:r>
            <w:proofErr w:type="gramEnd"/>
            <w:r w:rsidR="00A84A4D">
              <w:rPr>
                <w:rFonts w:cs="Arial"/>
              </w:rPr>
              <w:t xml:space="preserve"> and sentence writing is improving. More children are enjoying writing following the development work and can explain how they can improve their writing. </w:t>
            </w:r>
          </w:p>
          <w:p w14:paraId="5E20FD9E" w14:textId="59DB588D" w:rsidR="000B27A5" w:rsidRPr="000B27A5" w:rsidRDefault="00A84A4D" w:rsidP="000B27A5">
            <w:pPr>
              <w:pStyle w:val="ListParagraph"/>
              <w:numPr>
                <w:ilvl w:val="0"/>
                <w:numId w:val="17"/>
              </w:numPr>
              <w:tabs>
                <w:tab w:val="left" w:pos="1600"/>
              </w:tabs>
              <w:spacing w:before="60"/>
              <w:rPr>
                <w:rFonts w:cs="Arial"/>
              </w:rPr>
            </w:pPr>
            <w:r>
              <w:rPr>
                <w:rFonts w:cs="Arial"/>
              </w:rPr>
              <w:lastRenderedPageBreak/>
              <w:t>Pupils’ achievements in and out of school are recognised</w:t>
            </w:r>
            <w:r w:rsidR="00F67A76">
              <w:rPr>
                <w:rFonts w:cs="Arial"/>
              </w:rPr>
              <w:t xml:space="preserve">, tracked and </w:t>
            </w:r>
            <w:r>
              <w:rPr>
                <w:rFonts w:cs="Arial"/>
              </w:rPr>
              <w:t>recorded. Nearly all children recognise and can describe their wider achievement. Those not attending clubs or opportunities out with school life are provided opportunities through partnership with Active Schools or through the life and ethos of the school and staff/pupil led clubs</w:t>
            </w:r>
            <w:r w:rsidR="000B27A5">
              <w:rPr>
                <w:noProof/>
              </w:rPr>
              <w:t>.</w:t>
            </w:r>
          </w:p>
          <w:p w14:paraId="44F124C2" w14:textId="77777777" w:rsidR="000B27A5" w:rsidRDefault="000B27A5" w:rsidP="000B27A5">
            <w:pPr>
              <w:tabs>
                <w:tab w:val="left" w:pos="1600"/>
              </w:tabs>
              <w:spacing w:before="60"/>
              <w:rPr>
                <w:rFonts w:cs="Arial"/>
              </w:rPr>
            </w:pPr>
          </w:p>
          <w:p w14:paraId="71EDC260" w14:textId="4946DE81" w:rsidR="000B27A5" w:rsidRPr="000B27A5" w:rsidRDefault="000B27A5" w:rsidP="000B27A5">
            <w:pPr>
              <w:tabs>
                <w:tab w:val="left" w:pos="1600"/>
              </w:tabs>
              <w:spacing w:before="60"/>
              <w:jc w:val="center"/>
              <w:rPr>
                <w:rFonts w:cs="Arial"/>
              </w:rPr>
            </w:pPr>
            <w:r>
              <w:rPr>
                <w:noProof/>
              </w:rPr>
              <w:drawing>
                <wp:inline distT="0" distB="0" distL="0" distR="0" wp14:anchorId="3ED2CE8F" wp14:editId="384B19AB">
                  <wp:extent cx="1703705" cy="1271270"/>
                  <wp:effectExtent l="0" t="0" r="0" b="5080"/>
                  <wp:docPr id="89227340" name="Picture 1" descr="A green board with a stuffed animal an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27340" name="Picture 1" descr="A green board with a stuffed animal and leaves&#10;&#10;AI-generated content may be incorrect."/>
                          <pic:cNvPicPr/>
                        </pic:nvPicPr>
                        <pic:blipFill>
                          <a:blip r:embed="rId9"/>
                          <a:stretch>
                            <a:fillRect/>
                          </a:stretch>
                        </pic:blipFill>
                        <pic:spPr>
                          <a:xfrm>
                            <a:off x="0" y="0"/>
                            <a:ext cx="1703705" cy="1271270"/>
                          </a:xfrm>
                          <a:prstGeom prst="rect">
                            <a:avLst/>
                          </a:prstGeom>
                        </pic:spPr>
                      </pic:pic>
                    </a:graphicData>
                  </a:graphic>
                </wp:inline>
              </w:drawing>
            </w:r>
          </w:p>
          <w:p w14:paraId="06BAE69A" w14:textId="29F61FDF" w:rsidR="00A84A4D" w:rsidRDefault="00A84A4D" w:rsidP="00A84A4D">
            <w:pPr>
              <w:pStyle w:val="ListParagraph"/>
              <w:numPr>
                <w:ilvl w:val="0"/>
                <w:numId w:val="17"/>
              </w:numPr>
              <w:tabs>
                <w:tab w:val="left" w:pos="1600"/>
              </w:tabs>
              <w:spacing w:before="60"/>
              <w:rPr>
                <w:rFonts w:cs="Arial"/>
              </w:rPr>
            </w:pPr>
            <w:r>
              <w:rPr>
                <w:rFonts w:cs="Arial"/>
              </w:rPr>
              <w:t>Pupil Equity Fu</w:t>
            </w:r>
            <w:r w:rsidR="00324354">
              <w:rPr>
                <w:rFonts w:cs="Arial"/>
              </w:rPr>
              <w:t>nd</w:t>
            </w:r>
            <w:r w:rsidR="00CC2134">
              <w:rPr>
                <w:rFonts w:cs="Arial"/>
              </w:rPr>
              <w:t xml:space="preserve">ing </w:t>
            </w:r>
            <w:r w:rsidR="000B27A5">
              <w:rPr>
                <w:rFonts w:cs="Arial"/>
              </w:rPr>
              <w:t xml:space="preserve">supported phonics and early reading developments leading to most children achieving at Early Level at Reading, Writing and Talking and Listening. </w:t>
            </w:r>
          </w:p>
          <w:p w14:paraId="640D45B1" w14:textId="474879BF" w:rsidR="00F67A76" w:rsidRDefault="00297CD5" w:rsidP="00A84A4D">
            <w:pPr>
              <w:pStyle w:val="ListParagraph"/>
              <w:numPr>
                <w:ilvl w:val="0"/>
                <w:numId w:val="17"/>
              </w:numPr>
              <w:tabs>
                <w:tab w:val="left" w:pos="1600"/>
              </w:tabs>
              <w:spacing w:before="60"/>
              <w:rPr>
                <w:rFonts w:cs="Arial"/>
              </w:rPr>
            </w:pPr>
            <w:r>
              <w:rPr>
                <w:rFonts w:cs="Arial"/>
              </w:rPr>
              <w:t xml:space="preserve">For P1, P4 and P7 combined, most children achieved the expected Curriculum for Excellence Level of Literacy and Numeracy </w:t>
            </w:r>
          </w:p>
          <w:p w14:paraId="63DF2A29" w14:textId="729B2E99" w:rsidR="00E05DF7" w:rsidRPr="00C17AB7" w:rsidRDefault="00F67A76" w:rsidP="00C17AB7">
            <w:pPr>
              <w:pStyle w:val="ListParagraph"/>
              <w:numPr>
                <w:ilvl w:val="0"/>
                <w:numId w:val="17"/>
              </w:numPr>
              <w:tabs>
                <w:tab w:val="left" w:pos="1600"/>
              </w:tabs>
              <w:spacing w:before="60"/>
              <w:rPr>
                <w:rFonts w:cs="Arial"/>
              </w:rPr>
            </w:pPr>
            <w:r w:rsidRPr="00F67A76">
              <w:rPr>
                <w:rFonts w:cs="Arial"/>
              </w:rPr>
              <w:t xml:space="preserve">Pupils regularly enjoy learning outside of school, both in our school grounds and in our city. All classes enjoyed a trip to venues across the city, including Riverside Museum and the Glasgow Science Centre. P7s enjoyed their residential trip to Blairvadach. All children who attended could explain the positive impact the week has on them and challenges they have overcome. Rookie Rockstars worked with all children through songs to discuss and explore wellbeing messages including anti-bullying, resilience and resolving conflict. Half of the pupils then chose to perform a concert of these songs to families and friends. </w:t>
            </w:r>
          </w:p>
          <w:p w14:paraId="6CE7B70D" w14:textId="77777777" w:rsidR="00FA4B1A" w:rsidRPr="00DC1797" w:rsidRDefault="00FA4B1A" w:rsidP="00097858">
            <w:pPr>
              <w:tabs>
                <w:tab w:val="left" w:pos="1600"/>
              </w:tabs>
              <w:spacing w:before="60"/>
              <w:rPr>
                <w:rFonts w:cs="Arial"/>
              </w:rPr>
            </w:pPr>
          </w:p>
        </w:tc>
      </w:tr>
      <w:tr w:rsidR="0097112B" w:rsidRPr="00DC1797" w14:paraId="6BFB1062" w14:textId="77777777" w:rsidTr="0097112B">
        <w:tc>
          <w:tcPr>
            <w:tcW w:w="360" w:type="dxa"/>
            <w:tcBorders>
              <w:left w:val="nil"/>
              <w:right w:val="single" w:sz="2" w:space="0" w:color="auto"/>
            </w:tcBorders>
            <w:shd w:val="clear" w:color="auto" w:fill="C5E0B3" w:themeFill="accent6" w:themeFillTint="66"/>
          </w:tcPr>
          <w:p w14:paraId="48061C5F" w14:textId="77777777" w:rsidR="0097112B" w:rsidRPr="00DC1797" w:rsidRDefault="0097112B" w:rsidP="00FA496D">
            <w:pPr>
              <w:tabs>
                <w:tab w:val="left" w:pos="1600"/>
              </w:tabs>
              <w:ind w:left="270" w:hanging="270"/>
              <w:rPr>
                <w:rFonts w:cs="Arial"/>
              </w:rPr>
            </w:pPr>
          </w:p>
        </w:tc>
        <w:tc>
          <w:tcPr>
            <w:tcW w:w="9736" w:type="dxa"/>
            <w:tcBorders>
              <w:left w:val="single" w:sz="2" w:space="0" w:color="auto"/>
              <w:right w:val="single" w:sz="2" w:space="0" w:color="auto"/>
            </w:tcBorders>
            <w:shd w:val="clear" w:color="auto" w:fill="C5E0B3" w:themeFill="accent6" w:themeFillTint="66"/>
          </w:tcPr>
          <w:p w14:paraId="2D7B3DB5" w14:textId="155BECBC" w:rsidR="0097112B" w:rsidRPr="0097112B" w:rsidRDefault="0097112B" w:rsidP="000C6DF3">
            <w:pPr>
              <w:tabs>
                <w:tab w:val="left" w:pos="1600"/>
              </w:tabs>
              <w:spacing w:before="60"/>
              <w:rPr>
                <w:rFonts w:cs="Arial"/>
                <w:b/>
                <w:bCs/>
              </w:rPr>
            </w:pPr>
            <w:r w:rsidRPr="0097112B">
              <w:rPr>
                <w:rFonts w:cs="Arial"/>
                <w:b/>
                <w:bCs/>
              </w:rPr>
              <w:t>Attendance and Exclusion data</w:t>
            </w:r>
          </w:p>
        </w:tc>
      </w:tr>
      <w:tr w:rsidR="0097112B" w:rsidRPr="00DC1797" w14:paraId="27CD69AA" w14:textId="77777777" w:rsidTr="0097112B">
        <w:tc>
          <w:tcPr>
            <w:tcW w:w="360" w:type="dxa"/>
            <w:tcBorders>
              <w:left w:val="nil"/>
              <w:right w:val="single" w:sz="2" w:space="0" w:color="auto"/>
            </w:tcBorders>
            <w:shd w:val="clear" w:color="auto" w:fill="C5E0B3" w:themeFill="accent6" w:themeFillTint="66"/>
          </w:tcPr>
          <w:p w14:paraId="26F6672B" w14:textId="77777777" w:rsidR="0097112B" w:rsidRPr="00DC1797" w:rsidRDefault="0097112B" w:rsidP="00FA496D">
            <w:pPr>
              <w:tabs>
                <w:tab w:val="left" w:pos="1600"/>
              </w:tabs>
              <w:ind w:left="270" w:hanging="270"/>
              <w:rPr>
                <w:rFonts w:cs="Arial"/>
              </w:rPr>
            </w:pPr>
          </w:p>
        </w:tc>
        <w:tc>
          <w:tcPr>
            <w:tcW w:w="9736" w:type="dxa"/>
            <w:tcBorders>
              <w:left w:val="single" w:sz="2" w:space="0" w:color="auto"/>
              <w:bottom w:val="single" w:sz="2" w:space="0" w:color="auto"/>
              <w:right w:val="single" w:sz="2" w:space="0" w:color="auto"/>
            </w:tcBorders>
          </w:tcPr>
          <w:p w14:paraId="37D73888" w14:textId="18348C57" w:rsidR="0097112B" w:rsidRDefault="007D024B" w:rsidP="000C6DF3">
            <w:pPr>
              <w:tabs>
                <w:tab w:val="left" w:pos="1600"/>
              </w:tabs>
              <w:spacing w:before="60"/>
              <w:rPr>
                <w:rFonts w:cs="Arial"/>
              </w:rPr>
            </w:pPr>
            <w:r>
              <w:rPr>
                <w:rFonts w:cs="Arial"/>
              </w:rPr>
              <w:t xml:space="preserve">Swinton continues to maintain a strong, inclusive ethos, as reflected in the zero exclusions and 93.4% attendance recorded during 24/25 school session. Our proactive approaches to promoting positive relationships along with our knowledge of pupils and families and team working provide early interventions and targeted support where needed. </w:t>
            </w:r>
          </w:p>
          <w:p w14:paraId="55E0B004" w14:textId="77777777" w:rsidR="00AE1493" w:rsidRDefault="00AE1493" w:rsidP="007D024B">
            <w:pPr>
              <w:tabs>
                <w:tab w:val="left" w:pos="1600"/>
              </w:tabs>
              <w:spacing w:before="60"/>
              <w:rPr>
                <w:rFonts w:cs="Arial"/>
              </w:rPr>
            </w:pPr>
          </w:p>
        </w:tc>
      </w:tr>
    </w:tbl>
    <w:p w14:paraId="04F951AB" w14:textId="77777777" w:rsidR="004C387E" w:rsidRPr="00DC1797" w:rsidRDefault="004C387E" w:rsidP="00811CCB">
      <w:pPr>
        <w:tabs>
          <w:tab w:val="left" w:pos="1600"/>
        </w:tabs>
        <w:ind w:left="284" w:hanging="284"/>
        <w:rPr>
          <w:rFonts w:cs="Arial"/>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
        <w:gridCol w:w="9736"/>
      </w:tblGrid>
      <w:tr w:rsidR="000C6DF3" w:rsidRPr="00DC1797" w14:paraId="1C703D62" w14:textId="77777777" w:rsidTr="007573D6">
        <w:tc>
          <w:tcPr>
            <w:tcW w:w="360" w:type="dxa"/>
            <w:vMerge w:val="restart"/>
            <w:tcBorders>
              <w:top w:val="nil"/>
              <w:left w:val="nil"/>
              <w:right w:val="single" w:sz="2" w:space="0" w:color="auto"/>
            </w:tcBorders>
            <w:shd w:val="clear" w:color="auto" w:fill="C5E0B3" w:themeFill="accent6" w:themeFillTint="66"/>
          </w:tcPr>
          <w:p w14:paraId="2B92C7F5" w14:textId="77777777" w:rsidR="00811CCB" w:rsidRPr="00DC1797" w:rsidRDefault="00811CCB" w:rsidP="00811CCB">
            <w:pPr>
              <w:tabs>
                <w:tab w:val="left" w:pos="1600"/>
              </w:tabs>
              <w:ind w:left="284" w:hanging="284"/>
              <w:rPr>
                <w:rFonts w:cs="Arial"/>
              </w:rPr>
            </w:pPr>
          </w:p>
          <w:p w14:paraId="390DD793" w14:textId="77777777" w:rsidR="002C110E" w:rsidRPr="00DC1797" w:rsidRDefault="002C110E" w:rsidP="00811CCB">
            <w:pPr>
              <w:tabs>
                <w:tab w:val="left" w:pos="1600"/>
              </w:tabs>
              <w:ind w:left="284" w:right="144" w:hanging="284"/>
              <w:rPr>
                <w:rFonts w:ascii="Arial Bold" w:hAnsi="Arial Bold"/>
                <w:b/>
                <w:szCs w:val="18"/>
              </w:rPr>
            </w:pPr>
            <w:r w:rsidRPr="00DC1797">
              <w:rPr>
                <w:rFonts w:ascii="Arial Bold" w:hAnsi="Arial Bold"/>
                <w:b/>
                <w:szCs w:val="18"/>
              </w:rPr>
              <w:t xml:space="preserve">    </w:t>
            </w:r>
          </w:p>
          <w:p w14:paraId="6313E683" w14:textId="29261456" w:rsidR="00811CCB" w:rsidRPr="00DC1797" w:rsidRDefault="004C387E" w:rsidP="00811CCB">
            <w:pPr>
              <w:tabs>
                <w:tab w:val="left" w:pos="1600"/>
              </w:tabs>
              <w:ind w:left="284" w:right="144" w:hanging="284"/>
              <w:rPr>
                <w:rFonts w:ascii="Arial Bold" w:hAnsi="Arial Bold"/>
                <w:b/>
                <w:sz w:val="40"/>
                <w:szCs w:val="18"/>
              </w:rPr>
            </w:pPr>
            <w:r>
              <w:rPr>
                <w:rFonts w:ascii="Arial Bold" w:hAnsi="Arial Bold"/>
                <w:b/>
                <w:sz w:val="40"/>
                <w:szCs w:val="18"/>
              </w:rPr>
              <w:t xml:space="preserve">     </w:t>
            </w:r>
          </w:p>
          <w:p w14:paraId="0D7F0DB4" w14:textId="77777777" w:rsidR="00811CCB" w:rsidRPr="00DC1797" w:rsidRDefault="00811CCB" w:rsidP="004A61F6">
            <w:pPr>
              <w:ind w:left="284" w:right="-99" w:hanging="284"/>
              <w:rPr>
                <w:b/>
                <w:sz w:val="24"/>
                <w:szCs w:val="18"/>
              </w:rPr>
            </w:pPr>
            <w:r w:rsidRPr="00DC1797">
              <w:rPr>
                <w:b/>
                <w:sz w:val="24"/>
                <w:szCs w:val="18"/>
              </w:rPr>
              <w:t xml:space="preserve">   </w:t>
            </w:r>
            <w:r w:rsidR="003806D6" w:rsidRPr="00DC1797">
              <w:rPr>
                <w:b/>
                <w:sz w:val="24"/>
                <w:szCs w:val="18"/>
              </w:rPr>
              <w:t xml:space="preserve">  </w:t>
            </w:r>
          </w:p>
          <w:p w14:paraId="5E3D6B42" w14:textId="77777777" w:rsidR="00811CCB" w:rsidRPr="00DC1797" w:rsidRDefault="00811CCB" w:rsidP="00811CCB">
            <w:pPr>
              <w:tabs>
                <w:tab w:val="left" w:pos="1600"/>
              </w:tabs>
              <w:ind w:left="284" w:hanging="284"/>
              <w:rPr>
                <w:rFonts w:cs="Arial"/>
                <w:b/>
              </w:rPr>
            </w:pPr>
          </w:p>
          <w:p w14:paraId="7548BE02" w14:textId="77777777" w:rsidR="00811CCB" w:rsidRPr="00DC1797" w:rsidRDefault="00811CCB" w:rsidP="00312B33">
            <w:pPr>
              <w:tabs>
                <w:tab w:val="left" w:pos="1600"/>
              </w:tabs>
              <w:ind w:left="90" w:hanging="180"/>
              <w:rPr>
                <w:rFonts w:cs="Arial"/>
              </w:rPr>
            </w:pPr>
          </w:p>
          <w:p w14:paraId="02AE364F" w14:textId="77777777" w:rsidR="00811CCB" w:rsidRPr="00DC1797" w:rsidRDefault="00811CCB" w:rsidP="00312B33">
            <w:pPr>
              <w:tabs>
                <w:tab w:val="left" w:pos="1600"/>
              </w:tabs>
              <w:ind w:left="270" w:hanging="270"/>
              <w:rPr>
                <w:rFonts w:cs="Arial"/>
              </w:rPr>
            </w:pPr>
          </w:p>
        </w:tc>
        <w:tc>
          <w:tcPr>
            <w:tcW w:w="9736" w:type="dxa"/>
            <w:tcBorders>
              <w:left w:val="single" w:sz="2" w:space="0" w:color="auto"/>
              <w:bottom w:val="single" w:sz="2" w:space="0" w:color="auto"/>
              <w:right w:val="single" w:sz="2" w:space="0" w:color="auto"/>
            </w:tcBorders>
            <w:shd w:val="clear" w:color="auto" w:fill="C5E0B3" w:themeFill="accent6" w:themeFillTint="66"/>
          </w:tcPr>
          <w:p w14:paraId="7066379C" w14:textId="568EA259" w:rsidR="00811CCB" w:rsidRPr="00DC1797" w:rsidRDefault="00D92600" w:rsidP="00811CCB">
            <w:pPr>
              <w:tabs>
                <w:tab w:val="left" w:pos="1600"/>
              </w:tabs>
              <w:ind w:left="284" w:hanging="284"/>
              <w:rPr>
                <w:rFonts w:cs="Arial"/>
                <w:b/>
              </w:rPr>
            </w:pPr>
            <w:r>
              <w:rPr>
                <w:rFonts w:cs="Arial"/>
                <w:b/>
              </w:rPr>
              <w:t xml:space="preserve">Our improvement </w:t>
            </w:r>
            <w:r w:rsidR="009958F5">
              <w:rPr>
                <w:rFonts w:cs="Arial"/>
                <w:b/>
              </w:rPr>
              <w:t xml:space="preserve">plan </w:t>
            </w:r>
            <w:r>
              <w:rPr>
                <w:rFonts w:cs="Arial"/>
                <w:b/>
              </w:rPr>
              <w:t>priorities 202</w:t>
            </w:r>
            <w:r w:rsidR="0097112B">
              <w:rPr>
                <w:rFonts w:cs="Arial"/>
                <w:b/>
              </w:rPr>
              <w:t>5</w:t>
            </w:r>
            <w:r>
              <w:rPr>
                <w:rFonts w:cs="Arial"/>
                <w:b/>
              </w:rPr>
              <w:t xml:space="preserve"> </w:t>
            </w:r>
            <w:r w:rsidR="005A7E1F">
              <w:rPr>
                <w:rFonts w:cs="Arial"/>
                <w:b/>
              </w:rPr>
              <w:t>–</w:t>
            </w:r>
            <w:r>
              <w:rPr>
                <w:rFonts w:cs="Arial"/>
                <w:b/>
              </w:rPr>
              <w:t xml:space="preserve"> 202</w:t>
            </w:r>
            <w:r w:rsidR="0097112B">
              <w:rPr>
                <w:rFonts w:cs="Arial"/>
                <w:b/>
              </w:rPr>
              <w:t>6</w:t>
            </w:r>
          </w:p>
        </w:tc>
      </w:tr>
      <w:tr w:rsidR="000C6DF3" w:rsidRPr="00DC1797" w14:paraId="508B65B1" w14:textId="77777777" w:rsidTr="000C6DF3">
        <w:tc>
          <w:tcPr>
            <w:tcW w:w="360" w:type="dxa"/>
            <w:vMerge/>
            <w:tcBorders>
              <w:left w:val="nil"/>
              <w:right w:val="single" w:sz="2" w:space="0" w:color="auto"/>
            </w:tcBorders>
            <w:shd w:val="clear" w:color="auto" w:fill="C0C0C0"/>
          </w:tcPr>
          <w:p w14:paraId="18EF9DC3" w14:textId="77777777" w:rsidR="00811CCB" w:rsidRPr="00DC1797" w:rsidRDefault="00811CCB" w:rsidP="00312B33">
            <w:pPr>
              <w:tabs>
                <w:tab w:val="left" w:pos="1600"/>
              </w:tabs>
              <w:ind w:left="270" w:hanging="270"/>
              <w:rPr>
                <w:rFonts w:cs="Arial"/>
              </w:rPr>
            </w:pPr>
          </w:p>
        </w:tc>
        <w:tc>
          <w:tcPr>
            <w:tcW w:w="9736" w:type="dxa"/>
            <w:tcBorders>
              <w:left w:val="single" w:sz="2" w:space="0" w:color="auto"/>
              <w:bottom w:val="single" w:sz="2" w:space="0" w:color="auto"/>
              <w:right w:val="single" w:sz="2" w:space="0" w:color="auto"/>
            </w:tcBorders>
          </w:tcPr>
          <w:p w14:paraId="3B840E6B" w14:textId="77777777" w:rsidR="0077595A" w:rsidRDefault="0077595A" w:rsidP="0077595A">
            <w:pPr>
              <w:rPr>
                <w:rFonts w:cs="Arial"/>
              </w:rPr>
            </w:pPr>
          </w:p>
          <w:p w14:paraId="0EAF2AC9" w14:textId="105B6A38" w:rsidR="00297CD5" w:rsidRPr="00297CD5" w:rsidRDefault="00297CD5" w:rsidP="00297CD5">
            <w:pPr>
              <w:pStyle w:val="paragraph"/>
              <w:numPr>
                <w:ilvl w:val="0"/>
                <w:numId w:val="20"/>
              </w:numPr>
              <w:spacing w:before="0" w:beforeAutospacing="0" w:after="0" w:afterAutospacing="0"/>
              <w:textAlignment w:val="baseline"/>
              <w:rPr>
                <w:rFonts w:ascii="Arial" w:hAnsi="Arial" w:cs="Arial"/>
                <w:sz w:val="20"/>
                <w:szCs w:val="20"/>
                <w:lang w:eastAsia="en-US"/>
              </w:rPr>
            </w:pPr>
            <w:r w:rsidRPr="00297CD5">
              <w:rPr>
                <w:rFonts w:ascii="Arial" w:hAnsi="Arial" w:cs="Arial"/>
                <w:sz w:val="20"/>
                <w:szCs w:val="20"/>
                <w:lang w:eastAsia="en-US"/>
              </w:rPr>
              <w:t>Engagement, Participation and Inclusion – Increased opportunities for high quality and inclusive learning embedded in every classroom</w:t>
            </w:r>
          </w:p>
          <w:p w14:paraId="210652A5" w14:textId="1D6CAAD1" w:rsidR="00533B17" w:rsidRDefault="00297CD5" w:rsidP="00297CD5">
            <w:pPr>
              <w:pStyle w:val="ListParagraph"/>
              <w:numPr>
                <w:ilvl w:val="0"/>
                <w:numId w:val="19"/>
              </w:numPr>
              <w:tabs>
                <w:tab w:val="left" w:pos="1600"/>
              </w:tabs>
              <w:spacing w:before="60"/>
              <w:rPr>
                <w:rFonts w:cs="Arial"/>
              </w:rPr>
            </w:pPr>
            <w:r w:rsidRPr="00297CD5">
              <w:rPr>
                <w:rFonts w:cs="Arial"/>
              </w:rPr>
              <w:t>Achievement &amp; Progress: Improve reading and writing at First Level and Second Level</w:t>
            </w:r>
          </w:p>
          <w:p w14:paraId="5FA10C09" w14:textId="77777777" w:rsidR="00297CD5" w:rsidRDefault="00297CD5" w:rsidP="00297CD5">
            <w:pPr>
              <w:tabs>
                <w:tab w:val="left" w:pos="1600"/>
              </w:tabs>
              <w:spacing w:before="60"/>
              <w:rPr>
                <w:rFonts w:cs="Arial"/>
              </w:rPr>
            </w:pPr>
          </w:p>
          <w:p w14:paraId="205EA734" w14:textId="59E542E1" w:rsidR="00E05DF7" w:rsidRDefault="00297CD5" w:rsidP="00297CD5">
            <w:pPr>
              <w:tabs>
                <w:tab w:val="left" w:pos="1600"/>
              </w:tabs>
              <w:spacing w:before="60"/>
              <w:rPr>
                <w:rFonts w:cs="Arial"/>
              </w:rPr>
            </w:pPr>
            <w:r>
              <w:rPr>
                <w:rFonts w:cs="Arial"/>
              </w:rPr>
              <w:t>Please see our School Improvement Plan on our School Website for more details</w:t>
            </w:r>
          </w:p>
          <w:p w14:paraId="1DDCB1BD" w14:textId="77777777" w:rsidR="00FA4B1A" w:rsidRDefault="00FA4B1A" w:rsidP="00533B17">
            <w:pPr>
              <w:rPr>
                <w:rFonts w:cs="Arial"/>
              </w:rPr>
            </w:pPr>
          </w:p>
          <w:p w14:paraId="369B6306" w14:textId="77777777" w:rsidR="00FA4B1A" w:rsidRDefault="00FA4B1A" w:rsidP="00533B17">
            <w:pPr>
              <w:rPr>
                <w:rFonts w:cs="Arial"/>
              </w:rPr>
            </w:pPr>
          </w:p>
          <w:p w14:paraId="02329BF9" w14:textId="77777777" w:rsidR="00FA4B1A" w:rsidRDefault="00FA4B1A" w:rsidP="00533B17">
            <w:pPr>
              <w:rPr>
                <w:rFonts w:cs="Arial"/>
              </w:rPr>
            </w:pPr>
          </w:p>
          <w:p w14:paraId="0A9D5325" w14:textId="77777777" w:rsidR="00E05DF7" w:rsidRPr="00DC1797" w:rsidRDefault="00E05DF7" w:rsidP="00533B17">
            <w:pPr>
              <w:rPr>
                <w:rFonts w:cs="Arial"/>
              </w:rPr>
            </w:pPr>
          </w:p>
        </w:tc>
      </w:tr>
    </w:tbl>
    <w:p w14:paraId="1217ABBC" w14:textId="77777777" w:rsidR="00513DB2" w:rsidRDefault="00513DB2">
      <w:pPr>
        <w:tabs>
          <w:tab w:val="left" w:pos="1600"/>
        </w:tabs>
        <w:rPr>
          <w:rFonts w:cs="Arial"/>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
        <w:gridCol w:w="7463"/>
        <w:gridCol w:w="2299"/>
      </w:tblGrid>
      <w:tr w:rsidR="009537BE" w:rsidRPr="00DC1797" w14:paraId="449C2FF3" w14:textId="77777777" w:rsidTr="009537BE">
        <w:tc>
          <w:tcPr>
            <w:tcW w:w="334" w:type="dxa"/>
            <w:vMerge w:val="restart"/>
            <w:tcBorders>
              <w:left w:val="nil"/>
              <w:right w:val="single" w:sz="2" w:space="0" w:color="auto"/>
            </w:tcBorders>
            <w:shd w:val="clear" w:color="auto" w:fill="C5E0B3" w:themeFill="accent6" w:themeFillTint="66"/>
          </w:tcPr>
          <w:p w14:paraId="60CA099E" w14:textId="77777777" w:rsidR="009537BE" w:rsidRPr="00DC1797" w:rsidRDefault="009537BE" w:rsidP="00A504D1">
            <w:pPr>
              <w:tabs>
                <w:tab w:val="left" w:pos="1600"/>
              </w:tabs>
              <w:rPr>
                <w:rFonts w:cs="Arial"/>
              </w:rPr>
            </w:pPr>
          </w:p>
        </w:tc>
        <w:tc>
          <w:tcPr>
            <w:tcW w:w="7463" w:type="dxa"/>
            <w:tcBorders>
              <w:left w:val="single" w:sz="2" w:space="0" w:color="auto"/>
              <w:bottom w:val="single" w:sz="2" w:space="0" w:color="auto"/>
              <w:right w:val="single" w:sz="2" w:space="0" w:color="auto"/>
            </w:tcBorders>
            <w:shd w:val="clear" w:color="auto" w:fill="C5E0B3" w:themeFill="accent6" w:themeFillTint="66"/>
          </w:tcPr>
          <w:p w14:paraId="5B6B4A0F" w14:textId="723D43A9" w:rsidR="009537BE" w:rsidRPr="005A7E1F" w:rsidRDefault="009537BE" w:rsidP="00A504D1">
            <w:pPr>
              <w:autoSpaceDE w:val="0"/>
              <w:autoSpaceDN w:val="0"/>
              <w:adjustRightInd w:val="0"/>
              <w:rPr>
                <w:b/>
                <w:bCs/>
                <w:color w:val="000000"/>
                <w:szCs w:val="16"/>
              </w:rPr>
            </w:pPr>
            <w:r w:rsidRPr="005A7E1F">
              <w:rPr>
                <w:b/>
                <w:bCs/>
                <w:color w:val="000000"/>
                <w:szCs w:val="16"/>
              </w:rPr>
              <w:t xml:space="preserve">How Good Is Our School 4 Quality Indicator </w:t>
            </w:r>
            <w:r w:rsidR="005A7E1F">
              <w:rPr>
                <w:b/>
                <w:bCs/>
                <w:color w:val="000000"/>
                <w:szCs w:val="16"/>
              </w:rPr>
              <w:t>(QI)</w:t>
            </w:r>
          </w:p>
        </w:tc>
        <w:tc>
          <w:tcPr>
            <w:tcW w:w="2299" w:type="dxa"/>
            <w:tcBorders>
              <w:left w:val="single" w:sz="2" w:space="0" w:color="auto"/>
              <w:bottom w:val="single" w:sz="2" w:space="0" w:color="auto"/>
              <w:right w:val="single" w:sz="2" w:space="0" w:color="auto"/>
            </w:tcBorders>
            <w:shd w:val="clear" w:color="auto" w:fill="C5E0B3" w:themeFill="accent6" w:themeFillTint="66"/>
          </w:tcPr>
          <w:p w14:paraId="41DFDFDE" w14:textId="084DDE4F" w:rsidR="009537BE" w:rsidRPr="005A7E1F" w:rsidRDefault="009537BE" w:rsidP="00A504D1">
            <w:pPr>
              <w:autoSpaceDE w:val="0"/>
              <w:autoSpaceDN w:val="0"/>
              <w:adjustRightInd w:val="0"/>
              <w:rPr>
                <w:b/>
                <w:bCs/>
                <w:color w:val="000000"/>
                <w:szCs w:val="16"/>
              </w:rPr>
            </w:pPr>
            <w:r w:rsidRPr="005A7E1F">
              <w:rPr>
                <w:b/>
                <w:bCs/>
                <w:color w:val="000000"/>
                <w:szCs w:val="16"/>
              </w:rPr>
              <w:t>Evaluation</w:t>
            </w:r>
          </w:p>
        </w:tc>
      </w:tr>
      <w:tr w:rsidR="009537BE" w:rsidRPr="00DC1797" w14:paraId="28E5D72C" w14:textId="77777777" w:rsidTr="009537BE">
        <w:trPr>
          <w:trHeight w:val="239"/>
        </w:trPr>
        <w:tc>
          <w:tcPr>
            <w:tcW w:w="334" w:type="dxa"/>
            <w:vMerge/>
            <w:tcBorders>
              <w:left w:val="nil"/>
              <w:right w:val="single" w:sz="2" w:space="0" w:color="auto"/>
            </w:tcBorders>
            <w:shd w:val="clear" w:color="auto" w:fill="C5E0B3" w:themeFill="accent6" w:themeFillTint="66"/>
          </w:tcPr>
          <w:p w14:paraId="484554BC" w14:textId="77777777" w:rsidR="009537BE" w:rsidRPr="00DC1797" w:rsidRDefault="009537BE" w:rsidP="00A504D1">
            <w:pPr>
              <w:tabs>
                <w:tab w:val="left" w:pos="1600"/>
              </w:tabs>
              <w:rPr>
                <w:rFonts w:cs="Arial"/>
              </w:rPr>
            </w:pPr>
          </w:p>
        </w:tc>
        <w:tc>
          <w:tcPr>
            <w:tcW w:w="7463" w:type="dxa"/>
            <w:tcBorders>
              <w:left w:val="single" w:sz="2" w:space="0" w:color="auto"/>
              <w:right w:val="single" w:sz="2" w:space="0" w:color="auto"/>
            </w:tcBorders>
          </w:tcPr>
          <w:p w14:paraId="0B8DB0D8" w14:textId="2824624E" w:rsidR="009537BE" w:rsidRPr="000C6DF3" w:rsidRDefault="009537BE" w:rsidP="00A504D1">
            <w:pPr>
              <w:autoSpaceDE w:val="0"/>
              <w:autoSpaceDN w:val="0"/>
              <w:adjustRightInd w:val="0"/>
              <w:rPr>
                <w:color w:val="000000"/>
                <w:szCs w:val="16"/>
              </w:rPr>
            </w:pPr>
            <w:r>
              <w:rPr>
                <w:color w:val="000000"/>
                <w:szCs w:val="16"/>
              </w:rPr>
              <w:t>Leadership of Change (QI 1.3)</w:t>
            </w:r>
          </w:p>
        </w:tc>
        <w:tc>
          <w:tcPr>
            <w:tcW w:w="2299" w:type="dxa"/>
            <w:tcBorders>
              <w:left w:val="single" w:sz="2" w:space="0" w:color="auto"/>
              <w:right w:val="single" w:sz="2" w:space="0" w:color="auto"/>
            </w:tcBorders>
          </w:tcPr>
          <w:p w14:paraId="26D0875E" w14:textId="535E6C15" w:rsidR="009537BE" w:rsidRPr="000C6DF3" w:rsidRDefault="000B27A5" w:rsidP="00A504D1">
            <w:pPr>
              <w:autoSpaceDE w:val="0"/>
              <w:autoSpaceDN w:val="0"/>
              <w:adjustRightInd w:val="0"/>
              <w:rPr>
                <w:color w:val="000000"/>
                <w:szCs w:val="16"/>
              </w:rPr>
            </w:pPr>
            <w:r>
              <w:rPr>
                <w:color w:val="000000"/>
                <w:szCs w:val="16"/>
              </w:rPr>
              <w:t>Good</w:t>
            </w:r>
          </w:p>
        </w:tc>
      </w:tr>
      <w:tr w:rsidR="009537BE" w:rsidRPr="00DC1797" w14:paraId="1F66260B" w14:textId="77777777" w:rsidTr="009537BE">
        <w:trPr>
          <w:trHeight w:val="237"/>
        </w:trPr>
        <w:tc>
          <w:tcPr>
            <w:tcW w:w="334" w:type="dxa"/>
            <w:vMerge/>
            <w:tcBorders>
              <w:left w:val="nil"/>
              <w:right w:val="single" w:sz="2" w:space="0" w:color="auto"/>
            </w:tcBorders>
            <w:shd w:val="clear" w:color="auto" w:fill="C5E0B3" w:themeFill="accent6" w:themeFillTint="66"/>
          </w:tcPr>
          <w:p w14:paraId="0CB85A19" w14:textId="77777777" w:rsidR="009537BE" w:rsidRPr="00DC1797" w:rsidRDefault="009537BE" w:rsidP="00A504D1">
            <w:pPr>
              <w:tabs>
                <w:tab w:val="left" w:pos="1600"/>
              </w:tabs>
              <w:rPr>
                <w:rFonts w:cs="Arial"/>
              </w:rPr>
            </w:pPr>
          </w:p>
        </w:tc>
        <w:tc>
          <w:tcPr>
            <w:tcW w:w="7463" w:type="dxa"/>
            <w:tcBorders>
              <w:left w:val="single" w:sz="2" w:space="0" w:color="auto"/>
              <w:right w:val="single" w:sz="2" w:space="0" w:color="auto"/>
            </w:tcBorders>
          </w:tcPr>
          <w:p w14:paraId="7146B1E2" w14:textId="47B23105" w:rsidR="009537BE" w:rsidRPr="000C6DF3" w:rsidRDefault="009537BE" w:rsidP="00A504D1">
            <w:pPr>
              <w:autoSpaceDE w:val="0"/>
              <w:autoSpaceDN w:val="0"/>
              <w:adjustRightInd w:val="0"/>
              <w:rPr>
                <w:color w:val="000000"/>
                <w:szCs w:val="16"/>
              </w:rPr>
            </w:pPr>
            <w:r>
              <w:rPr>
                <w:color w:val="000000"/>
                <w:szCs w:val="16"/>
              </w:rPr>
              <w:t>Learning Teaching and Assessment (</w:t>
            </w:r>
            <w:r w:rsidR="00AD408C">
              <w:rPr>
                <w:color w:val="000000"/>
                <w:szCs w:val="16"/>
              </w:rPr>
              <w:t xml:space="preserve">QI </w:t>
            </w:r>
            <w:r>
              <w:rPr>
                <w:color w:val="000000"/>
                <w:szCs w:val="16"/>
              </w:rPr>
              <w:t>2.3)</w:t>
            </w:r>
          </w:p>
        </w:tc>
        <w:tc>
          <w:tcPr>
            <w:tcW w:w="2299" w:type="dxa"/>
            <w:tcBorders>
              <w:left w:val="single" w:sz="2" w:space="0" w:color="auto"/>
              <w:right w:val="single" w:sz="2" w:space="0" w:color="auto"/>
            </w:tcBorders>
          </w:tcPr>
          <w:p w14:paraId="17652C6E" w14:textId="0111366C" w:rsidR="009537BE" w:rsidRPr="000C6DF3" w:rsidRDefault="000B27A5" w:rsidP="00A504D1">
            <w:pPr>
              <w:autoSpaceDE w:val="0"/>
              <w:autoSpaceDN w:val="0"/>
              <w:adjustRightInd w:val="0"/>
              <w:rPr>
                <w:color w:val="000000"/>
                <w:szCs w:val="16"/>
              </w:rPr>
            </w:pPr>
            <w:r>
              <w:rPr>
                <w:color w:val="000000"/>
                <w:szCs w:val="16"/>
              </w:rPr>
              <w:t>Good</w:t>
            </w:r>
          </w:p>
        </w:tc>
      </w:tr>
      <w:tr w:rsidR="009537BE" w:rsidRPr="00DC1797" w14:paraId="64F50630" w14:textId="77777777" w:rsidTr="009537BE">
        <w:trPr>
          <w:trHeight w:val="237"/>
        </w:trPr>
        <w:tc>
          <w:tcPr>
            <w:tcW w:w="334" w:type="dxa"/>
            <w:vMerge/>
            <w:tcBorders>
              <w:left w:val="nil"/>
              <w:right w:val="single" w:sz="2" w:space="0" w:color="auto"/>
            </w:tcBorders>
            <w:shd w:val="clear" w:color="auto" w:fill="C5E0B3" w:themeFill="accent6" w:themeFillTint="66"/>
          </w:tcPr>
          <w:p w14:paraId="2CCE42AC" w14:textId="77777777" w:rsidR="009537BE" w:rsidRPr="00DC1797" w:rsidRDefault="009537BE" w:rsidP="00A504D1">
            <w:pPr>
              <w:tabs>
                <w:tab w:val="left" w:pos="1600"/>
              </w:tabs>
              <w:rPr>
                <w:rFonts w:cs="Arial"/>
              </w:rPr>
            </w:pPr>
          </w:p>
        </w:tc>
        <w:tc>
          <w:tcPr>
            <w:tcW w:w="7463" w:type="dxa"/>
            <w:tcBorders>
              <w:left w:val="single" w:sz="2" w:space="0" w:color="auto"/>
              <w:right w:val="single" w:sz="2" w:space="0" w:color="auto"/>
            </w:tcBorders>
          </w:tcPr>
          <w:p w14:paraId="7011D4B2" w14:textId="592BA902" w:rsidR="009537BE" w:rsidRPr="000C6DF3" w:rsidRDefault="005A7E1F" w:rsidP="00A504D1">
            <w:pPr>
              <w:autoSpaceDE w:val="0"/>
              <w:autoSpaceDN w:val="0"/>
              <w:adjustRightInd w:val="0"/>
              <w:rPr>
                <w:color w:val="000000"/>
                <w:szCs w:val="16"/>
              </w:rPr>
            </w:pPr>
            <w:r>
              <w:rPr>
                <w:color w:val="000000"/>
                <w:szCs w:val="16"/>
              </w:rPr>
              <w:t>Ensuring Wellbeing Equality and Inclusion (</w:t>
            </w:r>
            <w:r w:rsidR="00AD408C">
              <w:rPr>
                <w:color w:val="000000"/>
                <w:szCs w:val="16"/>
              </w:rPr>
              <w:t xml:space="preserve">QI </w:t>
            </w:r>
            <w:r>
              <w:rPr>
                <w:color w:val="000000"/>
                <w:szCs w:val="16"/>
              </w:rPr>
              <w:t>3.1)</w:t>
            </w:r>
          </w:p>
        </w:tc>
        <w:tc>
          <w:tcPr>
            <w:tcW w:w="2299" w:type="dxa"/>
            <w:tcBorders>
              <w:left w:val="single" w:sz="2" w:space="0" w:color="auto"/>
              <w:right w:val="single" w:sz="2" w:space="0" w:color="auto"/>
            </w:tcBorders>
          </w:tcPr>
          <w:p w14:paraId="7FE08FAE" w14:textId="0D141A27" w:rsidR="009537BE" w:rsidRPr="000C6DF3" w:rsidRDefault="000B27A5" w:rsidP="00A504D1">
            <w:pPr>
              <w:autoSpaceDE w:val="0"/>
              <w:autoSpaceDN w:val="0"/>
              <w:adjustRightInd w:val="0"/>
              <w:rPr>
                <w:color w:val="000000"/>
                <w:szCs w:val="16"/>
              </w:rPr>
            </w:pPr>
            <w:r>
              <w:rPr>
                <w:color w:val="000000"/>
                <w:szCs w:val="16"/>
              </w:rPr>
              <w:t>Very Good</w:t>
            </w:r>
          </w:p>
        </w:tc>
      </w:tr>
      <w:tr w:rsidR="009537BE" w:rsidRPr="00DC1797" w14:paraId="73723B0F" w14:textId="77777777" w:rsidTr="009537BE">
        <w:trPr>
          <w:trHeight w:val="237"/>
        </w:trPr>
        <w:tc>
          <w:tcPr>
            <w:tcW w:w="334" w:type="dxa"/>
            <w:vMerge/>
            <w:tcBorders>
              <w:left w:val="nil"/>
              <w:right w:val="single" w:sz="2" w:space="0" w:color="auto"/>
            </w:tcBorders>
            <w:shd w:val="clear" w:color="auto" w:fill="C5E0B3" w:themeFill="accent6" w:themeFillTint="66"/>
          </w:tcPr>
          <w:p w14:paraId="26FB4292" w14:textId="77777777" w:rsidR="009537BE" w:rsidRPr="00DC1797" w:rsidRDefault="009537BE" w:rsidP="00A504D1">
            <w:pPr>
              <w:tabs>
                <w:tab w:val="left" w:pos="1600"/>
              </w:tabs>
              <w:rPr>
                <w:rFonts w:cs="Arial"/>
              </w:rPr>
            </w:pPr>
          </w:p>
        </w:tc>
        <w:tc>
          <w:tcPr>
            <w:tcW w:w="7463" w:type="dxa"/>
            <w:tcBorders>
              <w:left w:val="single" w:sz="2" w:space="0" w:color="auto"/>
              <w:right w:val="single" w:sz="2" w:space="0" w:color="auto"/>
            </w:tcBorders>
          </w:tcPr>
          <w:p w14:paraId="3F60DCB6" w14:textId="694B04FE" w:rsidR="009537BE" w:rsidRPr="000C6DF3" w:rsidRDefault="005A7E1F" w:rsidP="00A504D1">
            <w:pPr>
              <w:autoSpaceDE w:val="0"/>
              <w:autoSpaceDN w:val="0"/>
              <w:adjustRightInd w:val="0"/>
              <w:rPr>
                <w:color w:val="000000"/>
                <w:szCs w:val="16"/>
              </w:rPr>
            </w:pPr>
            <w:r>
              <w:rPr>
                <w:color w:val="000000"/>
                <w:szCs w:val="16"/>
              </w:rPr>
              <w:t>Raising Attainment and Achievement (</w:t>
            </w:r>
            <w:r w:rsidR="00AD408C">
              <w:rPr>
                <w:color w:val="000000"/>
                <w:szCs w:val="16"/>
              </w:rPr>
              <w:t xml:space="preserve">QI </w:t>
            </w:r>
            <w:r>
              <w:rPr>
                <w:color w:val="000000"/>
                <w:szCs w:val="16"/>
              </w:rPr>
              <w:t>3.2)</w:t>
            </w:r>
          </w:p>
        </w:tc>
        <w:tc>
          <w:tcPr>
            <w:tcW w:w="2299" w:type="dxa"/>
            <w:tcBorders>
              <w:left w:val="single" w:sz="2" w:space="0" w:color="auto"/>
              <w:right w:val="single" w:sz="2" w:space="0" w:color="auto"/>
            </w:tcBorders>
          </w:tcPr>
          <w:p w14:paraId="10359A6F" w14:textId="72F67C3E" w:rsidR="009537BE" w:rsidRPr="000C6DF3" w:rsidRDefault="000B27A5" w:rsidP="00A504D1">
            <w:pPr>
              <w:autoSpaceDE w:val="0"/>
              <w:autoSpaceDN w:val="0"/>
              <w:adjustRightInd w:val="0"/>
              <w:rPr>
                <w:color w:val="000000"/>
                <w:szCs w:val="16"/>
              </w:rPr>
            </w:pPr>
            <w:r>
              <w:rPr>
                <w:color w:val="000000"/>
                <w:szCs w:val="16"/>
              </w:rPr>
              <w:t>Good</w:t>
            </w:r>
          </w:p>
        </w:tc>
      </w:tr>
    </w:tbl>
    <w:p w14:paraId="312407EA" w14:textId="77777777" w:rsidR="00312B33" w:rsidRPr="00DC1797" w:rsidRDefault="00312B33">
      <w:pPr>
        <w:tabs>
          <w:tab w:val="left" w:pos="1600"/>
        </w:tabs>
        <w:rPr>
          <w:rFonts w:cs="Arial"/>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
        <w:gridCol w:w="9762"/>
      </w:tblGrid>
      <w:tr w:rsidR="000C6DF3" w:rsidRPr="00DC1797" w14:paraId="3C1DDCA3" w14:textId="77777777" w:rsidTr="007573D6">
        <w:tc>
          <w:tcPr>
            <w:tcW w:w="334" w:type="dxa"/>
            <w:vMerge w:val="restart"/>
            <w:tcBorders>
              <w:top w:val="nil"/>
              <w:left w:val="nil"/>
              <w:right w:val="single" w:sz="2" w:space="0" w:color="auto"/>
            </w:tcBorders>
            <w:shd w:val="clear" w:color="auto" w:fill="C5E0B3" w:themeFill="accent6" w:themeFillTint="66"/>
          </w:tcPr>
          <w:p w14:paraId="4E5073D3" w14:textId="77777777" w:rsidR="009C256B" w:rsidRPr="00DC1797" w:rsidRDefault="009C256B" w:rsidP="00312B33">
            <w:pPr>
              <w:tabs>
                <w:tab w:val="left" w:pos="1600"/>
              </w:tabs>
              <w:ind w:left="90" w:hanging="180"/>
              <w:rPr>
                <w:rFonts w:cs="Arial"/>
              </w:rPr>
            </w:pPr>
          </w:p>
          <w:p w14:paraId="7F783AFE" w14:textId="34E6FA6A" w:rsidR="009C256B" w:rsidRPr="00DC1797" w:rsidRDefault="009C256B" w:rsidP="004A61F6">
            <w:pPr>
              <w:tabs>
                <w:tab w:val="left" w:pos="1600"/>
              </w:tabs>
              <w:ind w:left="266" w:hanging="357"/>
              <w:jc w:val="center"/>
              <w:rPr>
                <w:rFonts w:ascii="Arial Bold" w:hAnsi="Arial Bold" w:cs="Arial"/>
                <w:b/>
                <w:sz w:val="40"/>
              </w:rPr>
            </w:pPr>
          </w:p>
          <w:p w14:paraId="427C1E34" w14:textId="77777777" w:rsidR="009C256B" w:rsidRPr="00DC1797" w:rsidRDefault="009C256B" w:rsidP="006418CC">
            <w:pPr>
              <w:tabs>
                <w:tab w:val="left" w:pos="1600"/>
              </w:tabs>
              <w:rPr>
                <w:rFonts w:cs="Arial"/>
              </w:rPr>
            </w:pPr>
          </w:p>
        </w:tc>
        <w:tc>
          <w:tcPr>
            <w:tcW w:w="9762" w:type="dxa"/>
            <w:tcBorders>
              <w:left w:val="single" w:sz="2" w:space="0" w:color="auto"/>
              <w:bottom w:val="single" w:sz="2" w:space="0" w:color="auto"/>
              <w:right w:val="single" w:sz="2" w:space="0" w:color="auto"/>
            </w:tcBorders>
            <w:shd w:val="clear" w:color="auto" w:fill="C5E0B3" w:themeFill="accent6" w:themeFillTint="66"/>
          </w:tcPr>
          <w:p w14:paraId="2E9F9B84" w14:textId="6D059511" w:rsidR="009C256B" w:rsidRPr="00DC1797" w:rsidRDefault="00821AA4" w:rsidP="0077595A">
            <w:pPr>
              <w:tabs>
                <w:tab w:val="left" w:pos="1600"/>
              </w:tabs>
              <w:rPr>
                <w:rFonts w:cs="Arial"/>
                <w:b/>
              </w:rPr>
            </w:pPr>
            <w:r>
              <w:rPr>
                <w:rFonts w:cs="Arial"/>
                <w:b/>
              </w:rPr>
              <w:t xml:space="preserve">How </w:t>
            </w:r>
            <w:r w:rsidR="00D92600">
              <w:rPr>
                <w:rFonts w:cs="Arial"/>
                <w:b/>
              </w:rPr>
              <w:t>to find out more about our school</w:t>
            </w:r>
          </w:p>
        </w:tc>
      </w:tr>
      <w:tr w:rsidR="000C6DF3" w:rsidRPr="00DC1797" w14:paraId="6BF1F3B2" w14:textId="77777777" w:rsidTr="000C6DF3">
        <w:tc>
          <w:tcPr>
            <w:tcW w:w="334" w:type="dxa"/>
            <w:vMerge/>
            <w:tcBorders>
              <w:left w:val="nil"/>
              <w:bottom w:val="nil"/>
              <w:right w:val="single" w:sz="2" w:space="0" w:color="auto"/>
            </w:tcBorders>
            <w:shd w:val="clear" w:color="auto" w:fill="C0C0C0"/>
          </w:tcPr>
          <w:p w14:paraId="60A63034" w14:textId="77777777" w:rsidR="009C256B" w:rsidRPr="00DC1797" w:rsidRDefault="009C256B">
            <w:pPr>
              <w:tabs>
                <w:tab w:val="left" w:pos="1600"/>
              </w:tabs>
              <w:rPr>
                <w:rFonts w:cs="Arial"/>
              </w:rPr>
            </w:pPr>
          </w:p>
        </w:tc>
        <w:tc>
          <w:tcPr>
            <w:tcW w:w="9762" w:type="dxa"/>
            <w:tcBorders>
              <w:left w:val="single" w:sz="2" w:space="0" w:color="auto"/>
              <w:bottom w:val="single" w:sz="2" w:space="0" w:color="auto"/>
              <w:right w:val="single" w:sz="2" w:space="0" w:color="auto"/>
            </w:tcBorders>
          </w:tcPr>
          <w:p w14:paraId="19AF5C47" w14:textId="77777777" w:rsidR="00EE0A65" w:rsidRDefault="00EE0A65" w:rsidP="00F16CB4">
            <w:pPr>
              <w:autoSpaceDE w:val="0"/>
              <w:autoSpaceDN w:val="0"/>
              <w:adjustRightInd w:val="0"/>
              <w:rPr>
                <w:color w:val="000000"/>
                <w:szCs w:val="16"/>
              </w:rPr>
            </w:pPr>
          </w:p>
          <w:p w14:paraId="6B024105" w14:textId="54E96AB4" w:rsidR="000B281A" w:rsidRDefault="00D92600" w:rsidP="00F16CB4">
            <w:pPr>
              <w:autoSpaceDE w:val="0"/>
              <w:autoSpaceDN w:val="0"/>
              <w:adjustRightInd w:val="0"/>
              <w:rPr>
                <w:color w:val="000000"/>
                <w:szCs w:val="16"/>
              </w:rPr>
            </w:pPr>
            <w:r>
              <w:rPr>
                <w:color w:val="000000"/>
                <w:szCs w:val="16"/>
              </w:rPr>
              <w:t>C</w:t>
            </w:r>
            <w:r w:rsidR="00533B17">
              <w:rPr>
                <w:color w:val="000000"/>
                <w:szCs w:val="16"/>
              </w:rPr>
              <w:t>ontact us directly if you require furt</w:t>
            </w:r>
            <w:r w:rsidR="000B281A">
              <w:rPr>
                <w:color w:val="000000"/>
                <w:szCs w:val="16"/>
              </w:rPr>
              <w:t>her information</w:t>
            </w:r>
            <w:r>
              <w:rPr>
                <w:color w:val="000000"/>
                <w:szCs w:val="16"/>
              </w:rPr>
              <w:t xml:space="preserve"> about our school </w:t>
            </w:r>
            <w:r w:rsidR="000B281A">
              <w:rPr>
                <w:color w:val="000000"/>
                <w:szCs w:val="16"/>
              </w:rPr>
              <w:t xml:space="preserve">or if you wish </w:t>
            </w:r>
            <w:r w:rsidR="00533B17">
              <w:rPr>
                <w:color w:val="000000"/>
                <w:szCs w:val="16"/>
              </w:rPr>
              <w:t>to comment on th</w:t>
            </w:r>
            <w:r>
              <w:rPr>
                <w:color w:val="000000"/>
                <w:szCs w:val="16"/>
              </w:rPr>
              <w:t>is</w:t>
            </w:r>
            <w:r w:rsidR="00533B17">
              <w:rPr>
                <w:color w:val="000000"/>
                <w:szCs w:val="16"/>
              </w:rPr>
              <w:t xml:space="preserve"> report.</w:t>
            </w:r>
            <w:r w:rsidR="000B281A">
              <w:rPr>
                <w:color w:val="000000"/>
                <w:szCs w:val="16"/>
              </w:rPr>
              <w:t xml:space="preserve"> </w:t>
            </w:r>
          </w:p>
          <w:p w14:paraId="3CBCD49C" w14:textId="77777777" w:rsidR="005A7E1F" w:rsidRDefault="005A7E1F" w:rsidP="00F16CB4">
            <w:pPr>
              <w:autoSpaceDE w:val="0"/>
              <w:autoSpaceDN w:val="0"/>
              <w:adjustRightInd w:val="0"/>
              <w:rPr>
                <w:color w:val="000000"/>
                <w:szCs w:val="16"/>
              </w:rPr>
            </w:pPr>
          </w:p>
          <w:p w14:paraId="78D4E2C6" w14:textId="3937C98E" w:rsidR="00FA4B1A" w:rsidRDefault="00D92600" w:rsidP="00F16CB4">
            <w:pPr>
              <w:autoSpaceDE w:val="0"/>
              <w:autoSpaceDN w:val="0"/>
              <w:adjustRightInd w:val="0"/>
              <w:rPr>
                <w:color w:val="000000"/>
                <w:szCs w:val="16"/>
              </w:rPr>
            </w:pPr>
            <w:r>
              <w:rPr>
                <w:color w:val="000000"/>
                <w:szCs w:val="16"/>
              </w:rPr>
              <w:t xml:space="preserve">Our </w:t>
            </w:r>
            <w:r w:rsidR="000B281A">
              <w:rPr>
                <w:color w:val="000000"/>
                <w:szCs w:val="16"/>
              </w:rPr>
              <w:t>contact e-mail address is:</w:t>
            </w:r>
            <w:r w:rsidR="000B27A5">
              <w:rPr>
                <w:color w:val="000000"/>
                <w:szCs w:val="16"/>
              </w:rPr>
              <w:t xml:space="preserve"> headteacher@swinton-pri.glasgow.sch.uk</w:t>
            </w:r>
          </w:p>
          <w:p w14:paraId="5085432B" w14:textId="1A0CC1F0" w:rsidR="00533B17" w:rsidRDefault="000B281A" w:rsidP="00F16CB4">
            <w:pPr>
              <w:autoSpaceDE w:val="0"/>
              <w:autoSpaceDN w:val="0"/>
              <w:adjustRightInd w:val="0"/>
              <w:rPr>
                <w:color w:val="000000"/>
                <w:szCs w:val="16"/>
              </w:rPr>
            </w:pPr>
            <w:r>
              <w:rPr>
                <w:color w:val="000000"/>
                <w:szCs w:val="16"/>
              </w:rPr>
              <w:t xml:space="preserve"> </w:t>
            </w:r>
          </w:p>
          <w:p w14:paraId="236EA742" w14:textId="113F92DE" w:rsidR="00821AA4" w:rsidRDefault="00821AA4" w:rsidP="00F16CB4">
            <w:pPr>
              <w:autoSpaceDE w:val="0"/>
              <w:autoSpaceDN w:val="0"/>
              <w:adjustRightInd w:val="0"/>
              <w:rPr>
                <w:color w:val="000000"/>
                <w:szCs w:val="16"/>
              </w:rPr>
            </w:pPr>
            <w:r>
              <w:rPr>
                <w:color w:val="000000"/>
                <w:szCs w:val="16"/>
              </w:rPr>
              <w:t>Our telephone number is:</w:t>
            </w:r>
            <w:r w:rsidR="000B27A5">
              <w:rPr>
                <w:color w:val="000000"/>
                <w:szCs w:val="16"/>
              </w:rPr>
              <w:t xml:space="preserve"> 0141 7711776</w:t>
            </w:r>
          </w:p>
          <w:p w14:paraId="7678DF56" w14:textId="77777777" w:rsidR="00FA4B1A" w:rsidRDefault="00FA4B1A" w:rsidP="00F16CB4">
            <w:pPr>
              <w:autoSpaceDE w:val="0"/>
              <w:autoSpaceDN w:val="0"/>
              <w:adjustRightInd w:val="0"/>
              <w:rPr>
                <w:color w:val="000000"/>
                <w:szCs w:val="16"/>
              </w:rPr>
            </w:pPr>
          </w:p>
          <w:p w14:paraId="67135243" w14:textId="4CB420F9" w:rsidR="00821AA4" w:rsidRDefault="00821AA4" w:rsidP="00F16CB4">
            <w:pPr>
              <w:autoSpaceDE w:val="0"/>
              <w:autoSpaceDN w:val="0"/>
              <w:adjustRightInd w:val="0"/>
              <w:rPr>
                <w:color w:val="000000"/>
                <w:szCs w:val="16"/>
              </w:rPr>
            </w:pPr>
            <w:r>
              <w:rPr>
                <w:color w:val="000000"/>
                <w:szCs w:val="16"/>
              </w:rPr>
              <w:lastRenderedPageBreak/>
              <w:t>Our school address</w:t>
            </w:r>
            <w:r w:rsidR="0005632B">
              <w:rPr>
                <w:color w:val="000000"/>
                <w:szCs w:val="16"/>
              </w:rPr>
              <w:t xml:space="preserve"> is</w:t>
            </w:r>
            <w:r>
              <w:rPr>
                <w:color w:val="000000"/>
                <w:szCs w:val="16"/>
              </w:rPr>
              <w:t>:</w:t>
            </w:r>
            <w:r w:rsidR="000B27A5">
              <w:rPr>
                <w:color w:val="000000"/>
                <w:szCs w:val="16"/>
              </w:rPr>
              <w:t xml:space="preserve"> 2 </w:t>
            </w:r>
            <w:proofErr w:type="spellStart"/>
            <w:r w:rsidR="000B27A5">
              <w:rPr>
                <w:color w:val="000000"/>
                <w:szCs w:val="16"/>
              </w:rPr>
              <w:t>Rhindmuir</w:t>
            </w:r>
            <w:proofErr w:type="spellEnd"/>
            <w:r w:rsidR="000B27A5">
              <w:rPr>
                <w:color w:val="000000"/>
                <w:szCs w:val="16"/>
              </w:rPr>
              <w:t xml:space="preserve"> Road, Glasgow, G69 6AZ</w:t>
            </w:r>
          </w:p>
          <w:p w14:paraId="161CED91" w14:textId="77777777" w:rsidR="00FA4B1A" w:rsidRDefault="00FA4B1A" w:rsidP="00F16CB4">
            <w:pPr>
              <w:autoSpaceDE w:val="0"/>
              <w:autoSpaceDN w:val="0"/>
              <w:adjustRightInd w:val="0"/>
              <w:rPr>
                <w:color w:val="000000"/>
                <w:szCs w:val="16"/>
              </w:rPr>
            </w:pPr>
          </w:p>
          <w:p w14:paraId="3ADFCE3B" w14:textId="796F972C" w:rsidR="0097112B" w:rsidRDefault="00AE1493" w:rsidP="000C6DF3">
            <w:pPr>
              <w:autoSpaceDE w:val="0"/>
              <w:autoSpaceDN w:val="0"/>
              <w:adjustRightInd w:val="0"/>
              <w:rPr>
                <w:color w:val="000000"/>
                <w:szCs w:val="16"/>
              </w:rPr>
            </w:pPr>
            <w:r>
              <w:rPr>
                <w:color w:val="000000"/>
                <w:szCs w:val="16"/>
              </w:rPr>
              <w:t xml:space="preserve">Further information </w:t>
            </w:r>
            <w:r w:rsidR="000B27A5">
              <w:rPr>
                <w:color w:val="000000"/>
                <w:szCs w:val="16"/>
              </w:rPr>
              <w:t>can also be found on our school website.</w:t>
            </w:r>
          </w:p>
          <w:p w14:paraId="4B11262A" w14:textId="697D310C" w:rsidR="0097112B" w:rsidRPr="000C6DF3" w:rsidRDefault="0097112B" w:rsidP="000C6DF3">
            <w:pPr>
              <w:autoSpaceDE w:val="0"/>
              <w:autoSpaceDN w:val="0"/>
              <w:adjustRightInd w:val="0"/>
              <w:rPr>
                <w:color w:val="000000"/>
                <w:szCs w:val="16"/>
              </w:rPr>
            </w:pPr>
          </w:p>
        </w:tc>
      </w:tr>
    </w:tbl>
    <w:p w14:paraId="5597C2A7" w14:textId="77777777" w:rsidR="00513DB2" w:rsidRPr="00DC1797" w:rsidRDefault="00513DB2" w:rsidP="007573D6">
      <w:pPr>
        <w:tabs>
          <w:tab w:val="left" w:pos="540"/>
          <w:tab w:val="left" w:pos="5400"/>
        </w:tabs>
        <w:rPr>
          <w:rFonts w:cs="Arial"/>
        </w:rPr>
      </w:pPr>
    </w:p>
    <w:sectPr w:rsidR="00513DB2" w:rsidRPr="00DC1797" w:rsidSect="002B6B42">
      <w:headerReference w:type="default" r:id="rId10"/>
      <w:pgSz w:w="11909" w:h="16834" w:code="9"/>
      <w:pgMar w:top="720" w:right="720" w:bottom="720" w:left="720" w:header="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455E7" w14:textId="77777777" w:rsidR="00012C1F" w:rsidRDefault="00012C1F">
      <w:r>
        <w:separator/>
      </w:r>
    </w:p>
  </w:endnote>
  <w:endnote w:type="continuationSeparator" w:id="0">
    <w:p w14:paraId="52937044" w14:textId="77777777" w:rsidR="00012C1F" w:rsidRDefault="0001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66B61" w14:textId="77777777" w:rsidR="00012C1F" w:rsidRDefault="00012C1F">
      <w:r>
        <w:separator/>
      </w:r>
    </w:p>
  </w:footnote>
  <w:footnote w:type="continuationSeparator" w:id="0">
    <w:p w14:paraId="120D6DC5" w14:textId="77777777" w:rsidR="00012C1F" w:rsidRDefault="00012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0B89A" w14:textId="1693AC4C" w:rsidR="002B6B42" w:rsidRDefault="002B6B42">
    <w:pPr>
      <w:pStyle w:val="Header"/>
    </w:pPr>
    <w:r w:rsidRPr="006F5F7E">
      <w:rPr>
        <w:rFonts w:asciiTheme="majorHAnsi" w:eastAsia="MS Mincho" w:hAnsiTheme="majorHAnsi"/>
        <w:b/>
        <w:bCs/>
        <w:noProof/>
        <w:sz w:val="28"/>
        <w:szCs w:val="28"/>
        <w:lang w:val="en-US"/>
      </w:rPr>
      <w:drawing>
        <wp:anchor distT="0" distB="0" distL="114300" distR="114300" simplePos="0" relativeHeight="251661312" behindDoc="1" locked="0" layoutInCell="1" allowOverlap="1" wp14:anchorId="6B670CCE" wp14:editId="1CEEC1F6">
          <wp:simplePos x="0" y="0"/>
          <wp:positionH relativeFrom="column">
            <wp:posOffset>6092190</wp:posOffset>
          </wp:positionH>
          <wp:positionV relativeFrom="paragraph">
            <wp:posOffset>31750</wp:posOffset>
          </wp:positionV>
          <wp:extent cx="941070" cy="939800"/>
          <wp:effectExtent l="0" t="0" r="0" b="0"/>
          <wp:wrapTight wrapText="bothSides">
            <wp:wrapPolygon edited="0">
              <wp:start x="0" y="0"/>
              <wp:lineTo x="0" y="21016"/>
              <wp:lineTo x="20988" y="21016"/>
              <wp:lineTo x="20988" y="0"/>
              <wp:lineTo x="0" y="0"/>
            </wp:wrapPolygon>
          </wp:wrapTight>
          <wp:docPr id="7" name="Picture 7" descr="A diagram of a diagram of a learning proce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agram of a diagram of a learning process&#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1070" cy="939800"/>
                  </a:xfrm>
                  <a:prstGeom prst="rect">
                    <a:avLst/>
                  </a:prstGeom>
                </pic:spPr>
              </pic:pic>
            </a:graphicData>
          </a:graphic>
          <wp14:sizeRelH relativeFrom="margin">
            <wp14:pctWidth>0</wp14:pctWidth>
          </wp14:sizeRelH>
          <wp14:sizeRelV relativeFrom="margin">
            <wp14:pctHeight>0</wp14:pctHeight>
          </wp14:sizeRelV>
        </wp:anchor>
      </w:drawing>
    </w:r>
    <w:r w:rsidRPr="006F5F7E">
      <w:rPr>
        <w:b/>
        <w:bCs/>
        <w:noProof/>
        <w:sz w:val="28"/>
        <w:szCs w:val="28"/>
      </w:rPr>
      <w:drawing>
        <wp:anchor distT="0" distB="0" distL="114300" distR="114300" simplePos="0" relativeHeight="251659264" behindDoc="1" locked="0" layoutInCell="1" allowOverlap="1" wp14:anchorId="50A0FA52" wp14:editId="7DA77BAC">
          <wp:simplePos x="0" y="0"/>
          <wp:positionH relativeFrom="page">
            <wp:posOffset>114300</wp:posOffset>
          </wp:positionH>
          <wp:positionV relativeFrom="paragraph">
            <wp:posOffset>114300</wp:posOffset>
          </wp:positionV>
          <wp:extent cx="462915" cy="592455"/>
          <wp:effectExtent l="304800" t="304800" r="318135" b="321945"/>
          <wp:wrapThrough wrapText="bothSides">
            <wp:wrapPolygon edited="0">
              <wp:start x="-889" y="-11113"/>
              <wp:lineTo x="-14222" y="-9723"/>
              <wp:lineTo x="-14222" y="24309"/>
              <wp:lineTo x="-1778" y="31254"/>
              <wp:lineTo x="-889" y="32643"/>
              <wp:lineTo x="16889" y="32643"/>
              <wp:lineTo x="17778" y="31254"/>
              <wp:lineTo x="32889" y="24309"/>
              <wp:lineTo x="35556" y="12502"/>
              <wp:lineTo x="35556" y="1389"/>
              <wp:lineTo x="26667" y="-9029"/>
              <wp:lineTo x="25778" y="-11113"/>
              <wp:lineTo x="-889" y="-11113"/>
            </wp:wrapPolygon>
          </wp:wrapThrough>
          <wp:docPr id="11" name="Picture 10">
            <a:extLst xmlns:a="http://schemas.openxmlformats.org/drawingml/2006/main">
              <a:ext uri="{FF2B5EF4-FFF2-40B4-BE49-F238E27FC236}">
                <a16:creationId xmlns:a16="http://schemas.microsoft.com/office/drawing/2014/main" id="{3E9F9368-89B6-4BBE-B540-121E6C74D6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3E9F9368-89B6-4BBE-B540-121E6C74D6A4}"/>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2915" cy="59245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7077"/>
    <w:multiLevelType w:val="hybridMultilevel"/>
    <w:tmpl w:val="C846A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745EA3"/>
    <w:multiLevelType w:val="hybridMultilevel"/>
    <w:tmpl w:val="5F825A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67F06"/>
    <w:multiLevelType w:val="hybridMultilevel"/>
    <w:tmpl w:val="84CC0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32D30"/>
    <w:multiLevelType w:val="hybridMultilevel"/>
    <w:tmpl w:val="6E7E4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1D5B71"/>
    <w:multiLevelType w:val="hybridMultilevel"/>
    <w:tmpl w:val="AB509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A37D2C"/>
    <w:multiLevelType w:val="hybridMultilevel"/>
    <w:tmpl w:val="014AF5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6DB5FC6"/>
    <w:multiLevelType w:val="hybridMultilevel"/>
    <w:tmpl w:val="D8C802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FE42D3"/>
    <w:multiLevelType w:val="hybridMultilevel"/>
    <w:tmpl w:val="982421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536374"/>
    <w:multiLevelType w:val="hybridMultilevel"/>
    <w:tmpl w:val="37AAD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DF4F84"/>
    <w:multiLevelType w:val="hybridMultilevel"/>
    <w:tmpl w:val="764EFC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3D1054"/>
    <w:multiLevelType w:val="hybridMultilevel"/>
    <w:tmpl w:val="2AC092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8C2F43"/>
    <w:multiLevelType w:val="hybridMultilevel"/>
    <w:tmpl w:val="BCCC96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B76293"/>
    <w:multiLevelType w:val="hybridMultilevel"/>
    <w:tmpl w:val="92BCE3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58536BF"/>
    <w:multiLevelType w:val="hybridMultilevel"/>
    <w:tmpl w:val="F6305A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6B7B26"/>
    <w:multiLevelType w:val="hybridMultilevel"/>
    <w:tmpl w:val="4A9E22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2961CF"/>
    <w:multiLevelType w:val="hybridMultilevel"/>
    <w:tmpl w:val="0B8E91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422DAC"/>
    <w:multiLevelType w:val="hybridMultilevel"/>
    <w:tmpl w:val="CB2C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C67743"/>
    <w:multiLevelType w:val="hybridMultilevel"/>
    <w:tmpl w:val="2A3CC1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C2486E"/>
    <w:multiLevelType w:val="hybridMultilevel"/>
    <w:tmpl w:val="C45CA7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9736DB"/>
    <w:multiLevelType w:val="hybridMultilevel"/>
    <w:tmpl w:val="39D656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54289678">
    <w:abstractNumId w:val="12"/>
  </w:num>
  <w:num w:numId="2" w16cid:durableId="1904099407">
    <w:abstractNumId w:val="5"/>
  </w:num>
  <w:num w:numId="3" w16cid:durableId="1305162122">
    <w:abstractNumId w:val="15"/>
  </w:num>
  <w:num w:numId="4" w16cid:durableId="180290653">
    <w:abstractNumId w:val="9"/>
  </w:num>
  <w:num w:numId="5" w16cid:durableId="1573269589">
    <w:abstractNumId w:val="19"/>
  </w:num>
  <w:num w:numId="6" w16cid:durableId="1543009378">
    <w:abstractNumId w:val="11"/>
  </w:num>
  <w:num w:numId="7" w16cid:durableId="2113822149">
    <w:abstractNumId w:val="18"/>
  </w:num>
  <w:num w:numId="8" w16cid:durableId="1784304844">
    <w:abstractNumId w:val="0"/>
  </w:num>
  <w:num w:numId="9" w16cid:durableId="205337284">
    <w:abstractNumId w:val="14"/>
  </w:num>
  <w:num w:numId="10" w16cid:durableId="1558006231">
    <w:abstractNumId w:val="7"/>
  </w:num>
  <w:num w:numId="11" w16cid:durableId="479808844">
    <w:abstractNumId w:val="17"/>
  </w:num>
  <w:num w:numId="12" w16cid:durableId="1297831256">
    <w:abstractNumId w:val="13"/>
  </w:num>
  <w:num w:numId="13" w16cid:durableId="1161431918">
    <w:abstractNumId w:val="3"/>
  </w:num>
  <w:num w:numId="14" w16cid:durableId="24331923">
    <w:abstractNumId w:val="16"/>
  </w:num>
  <w:num w:numId="15" w16cid:durableId="777025160">
    <w:abstractNumId w:val="8"/>
  </w:num>
  <w:num w:numId="16" w16cid:durableId="1921598181">
    <w:abstractNumId w:val="2"/>
  </w:num>
  <w:num w:numId="17" w16cid:durableId="1988514784">
    <w:abstractNumId w:val="1"/>
  </w:num>
  <w:num w:numId="18" w16cid:durableId="1659458299">
    <w:abstractNumId w:val="4"/>
  </w:num>
  <w:num w:numId="19" w16cid:durableId="707876673">
    <w:abstractNumId w:val="6"/>
  </w:num>
  <w:num w:numId="20" w16cid:durableId="20585827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2F3"/>
    <w:rsid w:val="00012C1F"/>
    <w:rsid w:val="000223ED"/>
    <w:rsid w:val="00040B23"/>
    <w:rsid w:val="000420D3"/>
    <w:rsid w:val="0005632B"/>
    <w:rsid w:val="0006006A"/>
    <w:rsid w:val="00073190"/>
    <w:rsid w:val="00080C2A"/>
    <w:rsid w:val="00083EC4"/>
    <w:rsid w:val="0009784E"/>
    <w:rsid w:val="00097858"/>
    <w:rsid w:val="000A1549"/>
    <w:rsid w:val="000B27A5"/>
    <w:rsid w:val="000B281A"/>
    <w:rsid w:val="000C6DF3"/>
    <w:rsid w:val="00105F08"/>
    <w:rsid w:val="00112BE6"/>
    <w:rsid w:val="00153301"/>
    <w:rsid w:val="001D0768"/>
    <w:rsid w:val="001F6D41"/>
    <w:rsid w:val="00227391"/>
    <w:rsid w:val="002640F3"/>
    <w:rsid w:val="00297CD5"/>
    <w:rsid w:val="002B013B"/>
    <w:rsid w:val="002B673E"/>
    <w:rsid w:val="002B6B42"/>
    <w:rsid w:val="002C110E"/>
    <w:rsid w:val="002C375E"/>
    <w:rsid w:val="002D1CD7"/>
    <w:rsid w:val="002E7BF1"/>
    <w:rsid w:val="002F7513"/>
    <w:rsid w:val="00304332"/>
    <w:rsid w:val="00312B33"/>
    <w:rsid w:val="00324354"/>
    <w:rsid w:val="003257CB"/>
    <w:rsid w:val="00326EB2"/>
    <w:rsid w:val="00351D61"/>
    <w:rsid w:val="00377DF2"/>
    <w:rsid w:val="003806D6"/>
    <w:rsid w:val="003810FE"/>
    <w:rsid w:val="003F097A"/>
    <w:rsid w:val="0043211C"/>
    <w:rsid w:val="004532F8"/>
    <w:rsid w:val="004678FF"/>
    <w:rsid w:val="004902CE"/>
    <w:rsid w:val="004A0242"/>
    <w:rsid w:val="004A61F6"/>
    <w:rsid w:val="004B62F3"/>
    <w:rsid w:val="004C387E"/>
    <w:rsid w:val="004F6C7A"/>
    <w:rsid w:val="0051174C"/>
    <w:rsid w:val="00513DB2"/>
    <w:rsid w:val="00515F1F"/>
    <w:rsid w:val="00531D46"/>
    <w:rsid w:val="00533B17"/>
    <w:rsid w:val="005730C9"/>
    <w:rsid w:val="00575FBB"/>
    <w:rsid w:val="005878F4"/>
    <w:rsid w:val="005A5B41"/>
    <w:rsid w:val="005A6CBC"/>
    <w:rsid w:val="005A7E1F"/>
    <w:rsid w:val="005B0BDD"/>
    <w:rsid w:val="005D36D5"/>
    <w:rsid w:val="005E04F0"/>
    <w:rsid w:val="005E6C1E"/>
    <w:rsid w:val="005F684C"/>
    <w:rsid w:val="005F7D9A"/>
    <w:rsid w:val="006312A7"/>
    <w:rsid w:val="006418CC"/>
    <w:rsid w:val="006674C4"/>
    <w:rsid w:val="006830F5"/>
    <w:rsid w:val="00684EE6"/>
    <w:rsid w:val="006A637C"/>
    <w:rsid w:val="006D7EB3"/>
    <w:rsid w:val="006F28E6"/>
    <w:rsid w:val="006F5F7E"/>
    <w:rsid w:val="00707E7D"/>
    <w:rsid w:val="00714AC2"/>
    <w:rsid w:val="007359F0"/>
    <w:rsid w:val="007573D6"/>
    <w:rsid w:val="0077595A"/>
    <w:rsid w:val="00777B73"/>
    <w:rsid w:val="00780F87"/>
    <w:rsid w:val="007A2F8B"/>
    <w:rsid w:val="007A3158"/>
    <w:rsid w:val="007B3152"/>
    <w:rsid w:val="007B413E"/>
    <w:rsid w:val="007C4902"/>
    <w:rsid w:val="007D024B"/>
    <w:rsid w:val="00811CCB"/>
    <w:rsid w:val="0081386F"/>
    <w:rsid w:val="00821AA4"/>
    <w:rsid w:val="00827F86"/>
    <w:rsid w:val="00832518"/>
    <w:rsid w:val="00897D1B"/>
    <w:rsid w:val="008C1689"/>
    <w:rsid w:val="008C2F09"/>
    <w:rsid w:val="008C3AE7"/>
    <w:rsid w:val="008C7468"/>
    <w:rsid w:val="00911B92"/>
    <w:rsid w:val="00914851"/>
    <w:rsid w:val="00914D4C"/>
    <w:rsid w:val="00917B52"/>
    <w:rsid w:val="0092470D"/>
    <w:rsid w:val="00940098"/>
    <w:rsid w:val="00951A19"/>
    <w:rsid w:val="009537BE"/>
    <w:rsid w:val="00963FFD"/>
    <w:rsid w:val="00967084"/>
    <w:rsid w:val="0097112B"/>
    <w:rsid w:val="0097181F"/>
    <w:rsid w:val="009909A4"/>
    <w:rsid w:val="00992110"/>
    <w:rsid w:val="009958F5"/>
    <w:rsid w:val="009C256B"/>
    <w:rsid w:val="009C6C41"/>
    <w:rsid w:val="009F0B92"/>
    <w:rsid w:val="00A745CD"/>
    <w:rsid w:val="00A84A4D"/>
    <w:rsid w:val="00A84C97"/>
    <w:rsid w:val="00A963C4"/>
    <w:rsid w:val="00A966F7"/>
    <w:rsid w:val="00AB5D35"/>
    <w:rsid w:val="00AD408C"/>
    <w:rsid w:val="00AD6C87"/>
    <w:rsid w:val="00AE1493"/>
    <w:rsid w:val="00AE1890"/>
    <w:rsid w:val="00B8505F"/>
    <w:rsid w:val="00BA530F"/>
    <w:rsid w:val="00BC034A"/>
    <w:rsid w:val="00BC7A2B"/>
    <w:rsid w:val="00C04E02"/>
    <w:rsid w:val="00C17AB7"/>
    <w:rsid w:val="00C44BBA"/>
    <w:rsid w:val="00C651C5"/>
    <w:rsid w:val="00C85E14"/>
    <w:rsid w:val="00CA0329"/>
    <w:rsid w:val="00CA2979"/>
    <w:rsid w:val="00CB48DC"/>
    <w:rsid w:val="00CC2134"/>
    <w:rsid w:val="00CC697C"/>
    <w:rsid w:val="00CD643C"/>
    <w:rsid w:val="00D46FE9"/>
    <w:rsid w:val="00D54E4A"/>
    <w:rsid w:val="00D6153A"/>
    <w:rsid w:val="00D64238"/>
    <w:rsid w:val="00D647AF"/>
    <w:rsid w:val="00D66782"/>
    <w:rsid w:val="00D837D7"/>
    <w:rsid w:val="00D92600"/>
    <w:rsid w:val="00D94C57"/>
    <w:rsid w:val="00DC1797"/>
    <w:rsid w:val="00DC21A3"/>
    <w:rsid w:val="00DC2E99"/>
    <w:rsid w:val="00DF6E6B"/>
    <w:rsid w:val="00E01F67"/>
    <w:rsid w:val="00E05DF7"/>
    <w:rsid w:val="00E1723A"/>
    <w:rsid w:val="00E2125B"/>
    <w:rsid w:val="00E2247C"/>
    <w:rsid w:val="00E25D11"/>
    <w:rsid w:val="00E31275"/>
    <w:rsid w:val="00E504C5"/>
    <w:rsid w:val="00E92E94"/>
    <w:rsid w:val="00EC2D76"/>
    <w:rsid w:val="00EE0A65"/>
    <w:rsid w:val="00EE5EEE"/>
    <w:rsid w:val="00EE600B"/>
    <w:rsid w:val="00EF4CD5"/>
    <w:rsid w:val="00EF5A37"/>
    <w:rsid w:val="00F04524"/>
    <w:rsid w:val="00F16CB4"/>
    <w:rsid w:val="00F247AD"/>
    <w:rsid w:val="00F322D9"/>
    <w:rsid w:val="00F3680E"/>
    <w:rsid w:val="00F46804"/>
    <w:rsid w:val="00F62B3F"/>
    <w:rsid w:val="00F67A76"/>
    <w:rsid w:val="00F77357"/>
    <w:rsid w:val="00FA17C4"/>
    <w:rsid w:val="00FA496D"/>
    <w:rsid w:val="00FA4B1A"/>
    <w:rsid w:val="00FD389F"/>
    <w:rsid w:val="00FF49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EC22E88"/>
  <w15:docId w15:val="{72802260-BECA-43AC-9605-03EEE996E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63C4"/>
    <w:rPr>
      <w:rFonts w:ascii="Arial" w:hAnsi="Arial"/>
      <w:lang w:eastAsia="en-US"/>
    </w:rPr>
  </w:style>
  <w:style w:type="paragraph" w:styleId="Heading1">
    <w:name w:val="heading 1"/>
    <w:basedOn w:val="Normal"/>
    <w:next w:val="Normal"/>
    <w:qFormat/>
    <w:pPr>
      <w:keepNext/>
      <w:spacing w:before="240" w:after="60"/>
      <w:outlineLvl w:val="0"/>
    </w:pPr>
    <w:rPr>
      <w:b/>
      <w:kern w:val="32"/>
      <w:sz w:val="32"/>
      <w:szCs w:val="32"/>
    </w:rPr>
  </w:style>
  <w:style w:type="paragraph" w:styleId="Heading2">
    <w:name w:val="heading 2"/>
    <w:basedOn w:val="Normal"/>
    <w:next w:val="Normal"/>
    <w:qFormat/>
    <w:rsid w:val="008C2F09"/>
    <w:pPr>
      <w:keepNext/>
      <w:spacing w:before="240" w:after="60"/>
      <w:outlineLvl w:val="1"/>
    </w:pPr>
    <w:rPr>
      <w:rFonts w:cs="Arial"/>
      <w:b/>
      <w:bCs/>
      <w:i/>
      <w:iCs/>
      <w:sz w:val="28"/>
      <w:szCs w:val="28"/>
    </w:rPr>
  </w:style>
  <w:style w:type="paragraph" w:styleId="Heading3">
    <w:name w:val="heading 3"/>
    <w:basedOn w:val="Normal"/>
    <w:next w:val="Normal"/>
    <w:qFormat/>
    <w:rsid w:val="008C2F09"/>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600"/>
      </w:tabs>
    </w:pPr>
    <w:rPr>
      <w:color w:val="FF0000"/>
    </w:rPr>
  </w:style>
  <w:style w:type="table" w:styleId="TableGrid">
    <w:name w:val="Table Grid"/>
    <w:basedOn w:val="TableNormal"/>
    <w:rsid w:val="00011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27F86"/>
    <w:rPr>
      <w:rFonts w:ascii="Segoe UI" w:hAnsi="Segoe UI" w:cs="Segoe UI"/>
      <w:sz w:val="18"/>
      <w:szCs w:val="18"/>
    </w:rPr>
  </w:style>
  <w:style w:type="character" w:customStyle="1" w:styleId="BalloonTextChar">
    <w:name w:val="Balloon Text Char"/>
    <w:basedOn w:val="DefaultParagraphFont"/>
    <w:link w:val="BalloonText"/>
    <w:rsid w:val="00827F86"/>
    <w:rPr>
      <w:rFonts w:ascii="Segoe UI" w:hAnsi="Segoe UI" w:cs="Segoe UI"/>
      <w:sz w:val="18"/>
      <w:szCs w:val="18"/>
      <w:lang w:eastAsia="en-US"/>
    </w:rPr>
  </w:style>
  <w:style w:type="character" w:customStyle="1" w:styleId="HeaderChar">
    <w:name w:val="Header Char"/>
    <w:basedOn w:val="DefaultParagraphFont"/>
    <w:link w:val="Header"/>
    <w:uiPriority w:val="99"/>
    <w:rsid w:val="002B6B42"/>
    <w:rPr>
      <w:rFonts w:ascii="Arial" w:hAnsi="Arial"/>
      <w:lang w:eastAsia="en-US"/>
    </w:rPr>
  </w:style>
  <w:style w:type="paragraph" w:styleId="ListParagraph">
    <w:name w:val="List Paragraph"/>
    <w:basedOn w:val="Normal"/>
    <w:uiPriority w:val="34"/>
    <w:qFormat/>
    <w:rsid w:val="00C44BBA"/>
    <w:pPr>
      <w:ind w:left="720"/>
      <w:contextualSpacing/>
    </w:pPr>
  </w:style>
  <w:style w:type="character" w:customStyle="1" w:styleId="normaltextrun">
    <w:name w:val="normaltextrun"/>
    <w:basedOn w:val="DefaultParagraphFont"/>
    <w:rsid w:val="00297CD5"/>
  </w:style>
  <w:style w:type="paragraph" w:customStyle="1" w:styleId="paragraph">
    <w:name w:val="paragraph"/>
    <w:basedOn w:val="Normal"/>
    <w:rsid w:val="00297CD5"/>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96041">
      <w:bodyDiv w:val="1"/>
      <w:marLeft w:val="0"/>
      <w:marRight w:val="0"/>
      <w:marTop w:val="0"/>
      <w:marBottom w:val="0"/>
      <w:divBdr>
        <w:top w:val="none" w:sz="0" w:space="0" w:color="auto"/>
        <w:left w:val="none" w:sz="0" w:space="0" w:color="auto"/>
        <w:bottom w:val="none" w:sz="0" w:space="0" w:color="auto"/>
        <w:right w:val="none" w:sz="0" w:space="0" w:color="auto"/>
      </w:divBdr>
    </w:div>
    <w:div w:id="627781804">
      <w:bodyDiv w:val="1"/>
      <w:marLeft w:val="0"/>
      <w:marRight w:val="0"/>
      <w:marTop w:val="0"/>
      <w:marBottom w:val="300"/>
      <w:divBdr>
        <w:top w:val="none" w:sz="0" w:space="0" w:color="auto"/>
        <w:left w:val="none" w:sz="0" w:space="0" w:color="auto"/>
        <w:bottom w:val="none" w:sz="0" w:space="0" w:color="auto"/>
        <w:right w:val="none" w:sz="0" w:space="0" w:color="auto"/>
      </w:divBdr>
      <w:divsChild>
        <w:div w:id="462887915">
          <w:marLeft w:val="0"/>
          <w:marRight w:val="0"/>
          <w:marTop w:val="0"/>
          <w:marBottom w:val="330"/>
          <w:divBdr>
            <w:top w:val="none" w:sz="0" w:space="0" w:color="auto"/>
            <w:left w:val="none" w:sz="0" w:space="0" w:color="auto"/>
            <w:bottom w:val="none" w:sz="0" w:space="0" w:color="auto"/>
            <w:right w:val="none" w:sz="0" w:space="0" w:color="auto"/>
          </w:divBdr>
          <w:divsChild>
            <w:div w:id="1288655975">
              <w:marLeft w:val="0"/>
              <w:marRight w:val="0"/>
              <w:marTop w:val="0"/>
              <w:marBottom w:val="0"/>
              <w:divBdr>
                <w:top w:val="none" w:sz="0" w:space="0" w:color="auto"/>
                <w:left w:val="none" w:sz="0" w:space="0" w:color="auto"/>
                <w:bottom w:val="none" w:sz="0" w:space="0" w:color="auto"/>
                <w:right w:val="none" w:sz="0" w:space="0" w:color="auto"/>
              </w:divBdr>
              <w:divsChild>
                <w:div w:id="125875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08955827-aeb1-42de-b749-f604362c41c2" origin="userSelected">
  <element uid="de190743-cbc9-4414-8778-0e0b8638ef61" value=""/>
  <element uid="e3747532-42d1-43b9-8ba8-1bf45779edd5" value=""/>
</sisl>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D3CD525-C2FC-4069-BB37-586ECE172D8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0372858-5CCA-48BE-A6DC-AB40AFF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1076</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6903</CharactersWithSpaces>
  <SharedDoc>false</SharedDoc>
  <HLinks>
    <vt:vector size="6" baseType="variant">
      <vt:variant>
        <vt:i4>1048651</vt:i4>
      </vt:variant>
      <vt:variant>
        <vt:i4>2050</vt:i4>
      </vt:variant>
      <vt:variant>
        <vt:i4>1025</vt:i4>
      </vt:variant>
      <vt:variant>
        <vt:i4>1</vt:i4>
      </vt:variant>
      <vt:variant>
        <vt:lpwstr>landscapeA4Cover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French</dc:creator>
  <cp:keywords>[NOT OFFICIAL]</cp:keywords>
  <cp:lastModifiedBy>Gillies, E  ( Swinton Primary )</cp:lastModifiedBy>
  <cp:revision>6</cp:revision>
  <cp:lastPrinted>2017-05-30T13:39:00Z</cp:lastPrinted>
  <dcterms:created xsi:type="dcterms:W3CDTF">2025-09-13T15:16:00Z</dcterms:created>
  <dcterms:modified xsi:type="dcterms:W3CDTF">2025-09-19T12:57:00Z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41db8c96-413f-45ed-9831-f48578f16522</vt:lpwstr>
  </property>
  <property fmtid="{D5CDD505-2E9C-101B-9397-08002B2CF9AE}" pid="3" name="bjSaver">
    <vt:lpwstr>Jb3FdfB6ZQt5iv5VR6ECq6QNiq/Vg2XT</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uid="de190743-cbc9-4414-8778-0e0b8638ef61" value="" /&gt;&lt;element uid="e3747532-42d1-43b9-8ba8-1bf45779edd5" value="" /&gt;&lt;/sisl&gt;</vt:lpwstr>
  </property>
  <property fmtid="{D5CDD505-2E9C-101B-9397-08002B2CF9AE}" pid="6" name="bjDocumentSecurityLabel">
    <vt:lpwstr>NOT OFFICIAL</vt:lpwstr>
  </property>
  <property fmtid="{D5CDD505-2E9C-101B-9397-08002B2CF9AE}" pid="7" name="gcc-meta-protectivemarking">
    <vt:lpwstr>[NOT OFFICIAL]</vt:lpwstr>
  </property>
</Properties>
</file>